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Dictamen de viabilidad — Despido Aitor M.S. vs NEOVENTIS TECH</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DICTAMEN DE VIABILIDAD DE DEMANDA POR DESPIDO DISCIPLINARIO</w:t>
      </w:r>
    </w:p>
    <w:p>
      <w:pPr>
        <w:spacing w:after="120"/>
      </w:pPr>
      <w:r>
        <w:rPr>
          <w:b/>
          <w:bCs/>
          <w:color w:val="2D3748"/>
          <w:sz w:val="20"/>
          <w:szCs w:val="20"/>
        </w:rPr>
        <w:t xml:space="preserve">Expediente:</w:t>
      </w:r>
      <w:r>
        <w:rPr>
          <w:color w:val="2D3748"/>
          <w:sz w:val="20"/>
          <w:szCs w:val="20"/>
        </w:rPr>
        <w:t xml:space="preserve"> DEMO-003 </w:t>
      </w:r>
      <w:r>
        <w:rPr>
          <w:b/>
          <w:bCs/>
          <w:color w:val="2D3748"/>
          <w:sz w:val="20"/>
          <w:szCs w:val="20"/>
        </w:rPr>
        <w:t xml:space="preserve">Asunto:</w:t>
      </w:r>
      <w:r>
        <w:rPr>
          <w:color w:val="2D3748"/>
          <w:sz w:val="20"/>
          <w:szCs w:val="20"/>
        </w:rPr>
        <w:t xml:space="preserve"> Despido disciplinario — Demanda por improcedencia </w:t>
      </w:r>
      <w:r>
        <w:rPr>
          <w:b/>
          <w:bCs/>
          <w:color w:val="2D3748"/>
          <w:sz w:val="20"/>
          <w:szCs w:val="20"/>
        </w:rPr>
        <w:t xml:space="preserve">Letrada responsable:</w:t>
      </w:r>
      <w:r>
        <w:rPr>
          <w:color w:val="2D3748"/>
          <w:sz w:val="20"/>
          <w:szCs w:val="20"/>
        </w:rPr>
        <w:t xml:space="preserve"> Dña. Isabel Carvajal Puente </w:t>
      </w:r>
      <w:r>
        <w:rPr>
          <w:b/>
          <w:bCs/>
          <w:color w:val="2D3748"/>
          <w:sz w:val="20"/>
          <w:szCs w:val="20"/>
        </w:rPr>
        <w:t xml:space="preserve">Fecha de emisión:</w:t>
      </w:r>
      <w:r>
        <w:rPr>
          <w:color w:val="2D3748"/>
          <w:sz w:val="20"/>
          <w:szCs w:val="20"/>
        </w:rPr>
        <w:t xml:space="preserve"> 12 de abril de 2026</w:t>
      </w:r>
    </w:p>
    <w:p>
      <w:pPr>
        <w:pBdr>
          <w:bottom w:val="single" w:color="CBD5E0" w:sz="6" w:space="4"/>
        </w:pBdr>
        <w:spacing w:after="120" w:before="80"/>
      </w:pPr>
    </w:p>
    <w:p>
      <w:pPr>
        <w:pStyle w:val="Heading2"/>
        <w:spacing w:after="80" w:before="200"/>
      </w:pPr>
      <w:r>
        <w:rPr>
          <w:b/>
          <w:bCs/>
          <w:color w:val="1A365D"/>
          <w:sz w:val="26"/>
          <w:szCs w:val="26"/>
        </w:rPr>
        <w:t xml:space="preserve">1. DATOS DEL TRABAJADOR E IDENTIFICACIÓN DEL PLEITO</w:t>
      </w:r>
    </w:p>
    <w:p>
      <w:pPr>
        <w:pStyle w:val="Heading3"/>
        <w:spacing w:after="80" w:before="200"/>
      </w:pPr>
      <w:r>
        <w:rPr>
          <w:b/>
          <w:bCs/>
          <w:color w:val="2C5282"/>
          <w:sz w:val="22"/>
          <w:szCs w:val="22"/>
        </w:rPr>
        <w:t xml:space="preserve">1.1 Trabajador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Dato</w:t>
            </w:r>
          </w:p>
        </w:tc>
        <w:tc>
          <w:tcPr>
            <w:shd w:fill="EBF4FF"/>
            <w:tcMar>
              <w:top w:type="dxa" w:w="80"/>
              <w:left w:type="dxa" w:w="100"/>
              <w:bottom w:type="dxa" w:w="80"/>
              <w:right w:type="dxa" w:w="100"/>
            </w:tcMar>
          </w:tcPr>
          <w:p>
            <w:r>
              <w:rPr>
                <w:b/>
                <w:bCs/>
                <w:color w:val="1A365D"/>
                <w:sz w:val="18"/>
                <w:szCs w:val="18"/>
              </w:rPr>
              <w:t xml:space="preserve">Detalle</w:t>
            </w:r>
          </w:p>
        </w:tc>
      </w:tr>
      <w:tr>
        <w:trPr>
          <w:tblHeader w:val="false"/>
        </w:trPr>
        <w:tc>
          <w:tcPr>
            <w:tcMar>
              <w:top w:type="dxa" w:w="80"/>
              <w:left w:type="dxa" w:w="100"/>
              <w:bottom w:type="dxa" w:w="80"/>
              <w:right w:type="dxa" w:w="100"/>
            </w:tcMar>
          </w:tcPr>
          <w:p>
            <w:r>
              <w:rPr>
                <w:b/>
                <w:bCs/>
                <w:color w:val="2D3748"/>
                <w:sz w:val="18"/>
                <w:szCs w:val="18"/>
              </w:rPr>
              <w:t xml:space="preserve">Nombre</w:t>
            </w:r>
          </w:p>
        </w:tc>
        <w:tc>
          <w:tcPr>
            <w:tcMar>
              <w:top w:type="dxa" w:w="80"/>
              <w:left w:type="dxa" w:w="100"/>
              <w:bottom w:type="dxa" w:w="80"/>
              <w:right w:type="dxa" w:w="100"/>
            </w:tcMar>
          </w:tcPr>
          <w:p>
            <w:r>
              <w:rPr>
                <w:b w:val="false"/>
                <w:bCs w:val="false"/>
                <w:color w:val="2D3748"/>
                <w:sz w:val="18"/>
                <w:szCs w:val="18"/>
              </w:rPr>
              <w:t xml:space="preserve">D. Aitor M. S.</w:t>
            </w:r>
          </w:p>
        </w:tc>
      </w:tr>
      <w:tr>
        <w:trPr>
          <w:tblHeader w:val="false"/>
        </w:trPr>
        <w:tc>
          <w:tcPr>
            <w:shd w:fill="F7FAFC"/>
            <w:tcMar>
              <w:top w:type="dxa" w:w="80"/>
              <w:left w:type="dxa" w:w="100"/>
              <w:bottom w:type="dxa" w:w="80"/>
              <w:right w:type="dxa" w:w="100"/>
            </w:tcMar>
          </w:tcPr>
          <w:p>
            <w:r>
              <w:rPr>
                <w:b/>
                <w:bCs/>
                <w:color w:val="2D3748"/>
                <w:sz w:val="18"/>
                <w:szCs w:val="18"/>
              </w:rPr>
              <w:t xml:space="preserve">DNI</w:t>
            </w:r>
          </w:p>
        </w:tc>
        <w:tc>
          <w:tcPr>
            <w:shd w:fill="F7FAFC"/>
            <w:tcMar>
              <w:top w:type="dxa" w:w="80"/>
              <w:left w:type="dxa" w:w="100"/>
              <w:bottom w:type="dxa" w:w="80"/>
              <w:right w:type="dxa" w:w="100"/>
            </w:tcMar>
          </w:tcPr>
          <w:p>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\*7812-K</w:t>
            </w:r>
          </w:p>
        </w:tc>
      </w:tr>
      <w:tr>
        <w:trPr>
          <w:tblHeader w:val="false"/>
        </w:trPr>
        <w:tc>
          <w:tcPr>
            <w:tcMar>
              <w:top w:type="dxa" w:w="80"/>
              <w:left w:type="dxa" w:w="100"/>
              <w:bottom w:type="dxa" w:w="80"/>
              <w:right w:type="dxa" w:w="100"/>
            </w:tcMar>
          </w:tcPr>
          <w:p>
            <w:r>
              <w:rPr>
                <w:b/>
                <w:bCs/>
                <w:color w:val="2D3748"/>
                <w:sz w:val="18"/>
                <w:szCs w:val="18"/>
              </w:rPr>
              <w:t xml:space="preserve">Fecha de nacimiento</w:t>
            </w:r>
          </w:p>
        </w:tc>
        <w:tc>
          <w:tcPr>
            <w:tcMar>
              <w:top w:type="dxa" w:w="80"/>
              <w:left w:type="dxa" w:w="100"/>
              <w:bottom w:type="dxa" w:w="80"/>
              <w:right w:type="dxa" w:w="100"/>
            </w:tcMar>
          </w:tcPr>
          <w:p>
            <w:r>
              <w:rPr>
                <w:b w:val="false"/>
                <w:bCs w:val="false"/>
                <w:color w:val="2D3748"/>
                <w:sz w:val="18"/>
                <w:szCs w:val="18"/>
              </w:rPr>
              <w:t xml:space="preserve">1991 (34 años a fecha del despido)</w:t>
            </w:r>
          </w:p>
        </w:tc>
      </w:tr>
      <w:tr>
        <w:trPr>
          <w:tblHeader w:val="false"/>
        </w:trPr>
        <w:tc>
          <w:tcPr>
            <w:shd w:fill="F7FAFC"/>
            <w:tcMar>
              <w:top w:type="dxa" w:w="80"/>
              <w:left w:type="dxa" w:w="100"/>
              <w:bottom w:type="dxa" w:w="80"/>
              <w:right w:type="dxa" w:w="100"/>
            </w:tcMar>
          </w:tcPr>
          <w:p>
            <w:r>
              <w:rPr>
                <w:b/>
                <w:bCs/>
                <w:color w:val="2D3748"/>
                <w:sz w:val="18"/>
                <w:szCs w:val="18"/>
              </w:rPr>
              <w:t xml:space="preserve">Categoría profesional</w:t>
            </w:r>
          </w:p>
        </w:tc>
        <w:tc>
          <w:tcPr>
            <w:shd w:fill="F7FAFC"/>
            <w:tcMar>
              <w:top w:type="dxa" w:w="80"/>
              <w:left w:type="dxa" w:w="100"/>
              <w:bottom w:type="dxa" w:w="80"/>
              <w:right w:type="dxa" w:w="100"/>
            </w:tcMar>
          </w:tcPr>
          <w:p>
            <w:r>
              <w:rPr>
                <w:b w:val="false"/>
                <w:bCs w:val="false"/>
                <w:color w:val="2D3748"/>
                <w:sz w:val="18"/>
                <w:szCs w:val="18"/>
              </w:rPr>
              <w:t xml:space="preserve">Técnico de Desarrollo Sénior (Grupo 2, CC Consultoría)</w:t>
            </w:r>
          </w:p>
        </w:tc>
      </w:tr>
      <w:tr>
        <w:trPr>
          <w:tblHeader w:val="false"/>
        </w:trPr>
        <w:tc>
          <w:tcPr>
            <w:tcMar>
              <w:top w:type="dxa" w:w="80"/>
              <w:left w:type="dxa" w:w="100"/>
              <w:bottom w:type="dxa" w:w="80"/>
              <w:right w:type="dxa" w:w="100"/>
            </w:tcMar>
          </w:tcPr>
          <w:p>
            <w:r>
              <w:rPr>
                <w:b/>
                <w:bCs/>
                <w:color w:val="2D3748"/>
                <w:sz w:val="18"/>
                <w:szCs w:val="18"/>
              </w:rPr>
              <w:t xml:space="preserve">Fecha de alta</w:t>
            </w:r>
          </w:p>
        </w:tc>
        <w:tc>
          <w:tcPr>
            <w:tcMar>
              <w:top w:type="dxa" w:w="80"/>
              <w:left w:type="dxa" w:w="100"/>
              <w:bottom w:type="dxa" w:w="80"/>
              <w:right w:type="dxa" w:w="100"/>
            </w:tcMar>
          </w:tcPr>
          <w:p>
            <w:r>
              <w:rPr>
                <w:b w:val="false"/>
                <w:bCs w:val="false"/>
                <w:color w:val="2D3748"/>
                <w:sz w:val="18"/>
                <w:szCs w:val="18"/>
              </w:rPr>
              <w:t xml:space="preserve">3 de septiembre de 2018</w:t>
            </w:r>
          </w:p>
        </w:tc>
      </w:tr>
      <w:tr>
        <w:trPr>
          <w:tblHeader w:val="false"/>
        </w:trPr>
        <w:tc>
          <w:tcPr>
            <w:shd w:fill="F7FAFC"/>
            <w:tcMar>
              <w:top w:type="dxa" w:w="80"/>
              <w:left w:type="dxa" w:w="100"/>
              <w:bottom w:type="dxa" w:w="80"/>
              <w:right w:type="dxa" w:w="100"/>
            </w:tcMar>
          </w:tcPr>
          <w:p>
            <w:r>
              <w:rPr>
                <w:b/>
                <w:bCs/>
                <w:color w:val="2D3748"/>
                <w:sz w:val="18"/>
                <w:szCs w:val="18"/>
              </w:rPr>
              <w:t xml:space="preserve">Antigüedad a fecha de despido</w:t>
            </w:r>
          </w:p>
        </w:tc>
        <w:tc>
          <w:tcPr>
            <w:shd w:fill="F7FAFC"/>
            <w:tcMar>
              <w:top w:type="dxa" w:w="80"/>
              <w:left w:type="dxa" w:w="100"/>
              <w:bottom w:type="dxa" w:w="80"/>
              <w:right w:type="dxa" w:w="100"/>
            </w:tcMar>
          </w:tcPr>
          <w:p>
            <w:r>
              <w:rPr>
                <w:b w:val="false"/>
                <w:bCs w:val="false"/>
                <w:color w:val="2D3748"/>
                <w:sz w:val="18"/>
                <w:szCs w:val="18"/>
              </w:rPr>
              <w:t xml:space="preserve">7 años, 8 meses y 11 días</w:t>
            </w:r>
          </w:p>
        </w:tc>
      </w:tr>
      <w:tr>
        <w:trPr>
          <w:tblHeader w:val="false"/>
        </w:trPr>
        <w:tc>
          <w:tcPr>
            <w:tcMar>
              <w:top w:type="dxa" w:w="80"/>
              <w:left w:type="dxa" w:w="100"/>
              <w:bottom w:type="dxa" w:w="80"/>
              <w:right w:type="dxa" w:w="100"/>
            </w:tcMar>
          </w:tcPr>
          <w:p>
            <w:r>
              <w:rPr>
                <w:b/>
                <w:bCs/>
                <w:color w:val="2D3748"/>
                <w:sz w:val="18"/>
                <w:szCs w:val="18"/>
              </w:rPr>
              <w:t xml:space="preserve">Salario bruto anual</w:t>
            </w:r>
          </w:p>
        </w:tc>
        <w:tc>
          <w:tcPr>
            <w:tcMar>
              <w:top w:type="dxa" w:w="80"/>
              <w:left w:type="dxa" w:w="100"/>
              <w:bottom w:type="dxa" w:w="80"/>
              <w:right w:type="dxa" w:w="100"/>
            </w:tcMar>
          </w:tcPr>
          <w:p>
            <w:r>
              <w:rPr>
                <w:b w:val="false"/>
                <w:bCs w:val="false"/>
                <w:color w:val="2D3748"/>
                <w:sz w:val="18"/>
                <w:szCs w:val="18"/>
              </w:rPr>
              <w:t xml:space="preserve">47.812,00 € (incluida prorrata de pagas extraordinarias)</w:t>
            </w:r>
          </w:p>
        </w:tc>
      </w:tr>
      <w:tr>
        <w:trPr>
          <w:tblHeader w:val="false"/>
        </w:trPr>
        <w:tc>
          <w:tcPr>
            <w:shd w:fill="F7FAFC"/>
            <w:tcMar>
              <w:top w:type="dxa" w:w="80"/>
              <w:left w:type="dxa" w:w="100"/>
              <w:bottom w:type="dxa" w:w="80"/>
              <w:right w:type="dxa" w:w="100"/>
            </w:tcMar>
          </w:tcPr>
          <w:p>
            <w:r>
              <w:rPr>
                <w:b/>
                <w:bCs/>
                <w:color w:val="2D3748"/>
                <w:sz w:val="18"/>
                <w:szCs w:val="18"/>
              </w:rPr>
              <w:t xml:space="preserve">Salario diario</w:t>
            </w:r>
          </w:p>
        </w:tc>
        <w:tc>
          <w:tcPr>
            <w:shd w:fill="F7FAFC"/>
            <w:tcMar>
              <w:top w:type="dxa" w:w="80"/>
              <w:left w:type="dxa" w:w="100"/>
              <w:bottom w:type="dxa" w:w="80"/>
              <w:right w:type="dxa" w:w="100"/>
            </w:tcMar>
          </w:tcPr>
          <w:p>
            <w:r>
              <w:rPr>
                <w:b w:val="false"/>
                <w:bCs w:val="false"/>
                <w:color w:val="2D3748"/>
                <w:sz w:val="18"/>
                <w:szCs w:val="18"/>
              </w:rPr>
              <w:t xml:space="preserve">130,99 € (47.812 / 365)</w:t>
            </w:r>
          </w:p>
        </w:tc>
      </w:tr>
      <w:tr>
        <w:trPr>
          <w:tblHeader w:val="false"/>
        </w:trPr>
        <w:tc>
          <w:tcPr>
            <w:tcMar>
              <w:top w:type="dxa" w:w="80"/>
              <w:left w:type="dxa" w:w="100"/>
              <w:bottom w:type="dxa" w:w="80"/>
              <w:right w:type="dxa" w:w="100"/>
            </w:tcMar>
          </w:tcPr>
          <w:p>
            <w:r>
              <w:rPr>
                <w:b/>
                <w:bCs/>
                <w:color w:val="2D3748"/>
                <w:sz w:val="18"/>
                <w:szCs w:val="18"/>
              </w:rPr>
              <w:t xml:space="preserve">Tipo de contrato</w:t>
            </w:r>
          </w:p>
        </w:tc>
        <w:tc>
          <w:tcPr>
            <w:tcMar>
              <w:top w:type="dxa" w:w="80"/>
              <w:left w:type="dxa" w:w="100"/>
              <w:bottom w:type="dxa" w:w="80"/>
              <w:right w:type="dxa" w:w="100"/>
            </w:tcMar>
          </w:tcPr>
          <w:p>
            <w:r>
              <w:rPr>
                <w:b w:val="false"/>
                <w:bCs w:val="false"/>
                <w:color w:val="2D3748"/>
                <w:sz w:val="18"/>
                <w:szCs w:val="18"/>
              </w:rPr>
              <w:t xml:space="preserve">Indefinido a jornada completa</w:t>
            </w:r>
          </w:p>
        </w:tc>
      </w:tr>
      <w:tr>
        <w:trPr>
          <w:tblHeader w:val="false"/>
        </w:trPr>
        <w:tc>
          <w:tcPr>
            <w:shd w:fill="F7FAFC"/>
            <w:tcMar>
              <w:top w:type="dxa" w:w="80"/>
              <w:left w:type="dxa" w:w="100"/>
              <w:bottom w:type="dxa" w:w="80"/>
              <w:right w:type="dxa" w:w="100"/>
            </w:tcMar>
          </w:tcPr>
          <w:p>
            <w:r>
              <w:rPr>
                <w:b/>
                <w:bCs/>
                <w:color w:val="2D3748"/>
                <w:sz w:val="18"/>
                <w:szCs w:val="18"/>
              </w:rPr>
              <w:t xml:space="preserve">Antecedentes disciplinarios</w:t>
            </w:r>
          </w:p>
        </w:tc>
        <w:tc>
          <w:tcPr>
            <w:shd w:fill="F7FAFC"/>
            <w:tcMar>
              <w:top w:type="dxa" w:w="80"/>
              <w:left w:type="dxa" w:w="100"/>
              <w:bottom w:type="dxa" w:w="80"/>
              <w:right w:type="dxa" w:w="100"/>
            </w:tcMar>
          </w:tcPr>
          <w:p>
            <w:r>
              <w:rPr>
                <w:b w:val="false"/>
                <w:bCs w:val="false"/>
                <w:color w:val="2D3748"/>
                <w:sz w:val="18"/>
                <w:szCs w:val="18"/>
              </w:rPr>
              <w:t xml:space="preserve">Ninguno en toda la relación laboral</w:t>
            </w:r>
          </w:p>
        </w:tc>
      </w:tr>
      <w:tr>
        <w:trPr>
          <w:tblHeader w:val="false"/>
        </w:trPr>
        <w:tc>
          <w:tcPr>
            <w:tcMar>
              <w:top w:type="dxa" w:w="80"/>
              <w:left w:type="dxa" w:w="100"/>
              <w:bottom w:type="dxa" w:w="80"/>
              <w:right w:type="dxa" w:w="100"/>
            </w:tcMar>
          </w:tcPr>
          <w:p>
            <w:r>
              <w:rPr>
                <w:b/>
                <w:bCs/>
                <w:color w:val="2D3748"/>
                <w:sz w:val="18"/>
                <w:szCs w:val="18"/>
              </w:rPr>
              <w:t xml:space="preserve">Última evaluación de desempeño</w:t>
            </w:r>
          </w:p>
        </w:tc>
        <w:tc>
          <w:tcPr>
            <w:tcMar>
              <w:top w:type="dxa" w:w="80"/>
              <w:left w:type="dxa" w:w="100"/>
              <w:bottom w:type="dxa" w:w="80"/>
              <w:right w:type="dxa" w:w="100"/>
            </w:tcMar>
          </w:tcPr>
          <w:p>
            <w:r>
              <w:rPr>
                <w:b w:val="false"/>
                <w:bCs w:val="false"/>
                <w:color w:val="2D3748"/>
                <w:sz w:val="18"/>
                <w:szCs w:val="18"/>
              </w:rPr>
              <w:t xml:space="preserve">Enero 2026 — "Meets expectations", 3,8/5</w:t>
            </w:r>
          </w:p>
        </w:tc>
      </w:tr>
    </w:tbl>
    <w:p>
      <w:pPr>
        <w:spacing w:after="120"/>
      </w:pPr>
    </w:p>
    <w:p>
      <w:pPr>
        <w:pStyle w:val="Heading3"/>
        <w:spacing w:after="80" w:before="200"/>
      </w:pPr>
      <w:r>
        <w:rPr>
          <w:b/>
          <w:bCs/>
          <w:color w:val="2C5282"/>
          <w:sz w:val="22"/>
          <w:szCs w:val="22"/>
        </w:rPr>
        <w:t xml:space="preserve">1.2 Empresa demandada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Dato</w:t>
            </w:r>
          </w:p>
        </w:tc>
        <w:tc>
          <w:tcPr>
            <w:shd w:fill="EBF4FF"/>
            <w:tcMar>
              <w:top w:type="dxa" w:w="80"/>
              <w:left w:type="dxa" w:w="100"/>
              <w:bottom w:type="dxa" w:w="80"/>
              <w:right w:type="dxa" w:w="100"/>
            </w:tcMar>
          </w:tcPr>
          <w:p>
            <w:r>
              <w:rPr>
                <w:b/>
                <w:bCs/>
                <w:color w:val="1A365D"/>
                <w:sz w:val="18"/>
                <w:szCs w:val="18"/>
              </w:rPr>
              <w:t xml:space="preserve">Detalle</w:t>
            </w:r>
          </w:p>
        </w:tc>
      </w:tr>
      <w:tr>
        <w:trPr>
          <w:tblHeader w:val="false"/>
        </w:trPr>
        <w:tc>
          <w:tcPr>
            <w:tcMar>
              <w:top w:type="dxa" w:w="80"/>
              <w:left w:type="dxa" w:w="100"/>
              <w:bottom w:type="dxa" w:w="80"/>
              <w:right w:type="dxa" w:w="100"/>
            </w:tcMar>
          </w:tcPr>
          <w:p>
            <w:r>
              <w:rPr>
                <w:b/>
                <w:bCs/>
                <w:color w:val="2D3748"/>
                <w:sz w:val="18"/>
                <w:szCs w:val="18"/>
              </w:rPr>
              <w:t xml:space="preserve">Razón social</w:t>
            </w:r>
          </w:p>
        </w:tc>
        <w:tc>
          <w:tcPr>
            <w:tcMar>
              <w:top w:type="dxa" w:w="80"/>
              <w:left w:type="dxa" w:w="100"/>
              <w:bottom w:type="dxa" w:w="80"/>
              <w:right w:type="dxa" w:w="100"/>
            </w:tcMar>
          </w:tcPr>
          <w:p>
            <w:r>
              <w:rPr>
                <w:b w:val="false"/>
                <w:bCs w:val="false"/>
                <w:color w:val="2D3748"/>
                <w:sz w:val="18"/>
                <w:szCs w:val="18"/>
              </w:rPr>
              <w:t xml:space="preserve">NEOVENTIS TECH SOLUTIONS, S.L.</w:t>
            </w:r>
          </w:p>
        </w:tc>
      </w:tr>
      <w:tr>
        <w:trPr>
          <w:tblHeader w:val="false"/>
        </w:trPr>
        <w:tc>
          <w:tcPr>
            <w:shd w:fill="F7FAFC"/>
            <w:tcMar>
              <w:top w:type="dxa" w:w="80"/>
              <w:left w:type="dxa" w:w="100"/>
              <w:bottom w:type="dxa" w:w="80"/>
              <w:right w:type="dxa" w:w="100"/>
            </w:tcMar>
          </w:tcPr>
          <w:p>
            <w:r>
              <w:rPr>
                <w:b/>
                <w:bCs/>
                <w:color w:val="2D3748"/>
                <w:sz w:val="18"/>
                <w:szCs w:val="18"/>
              </w:rPr>
              <w:t xml:space="preserve">CIF</w:t>
            </w:r>
          </w:p>
        </w:tc>
        <w:tc>
          <w:tcPr>
            <w:shd w:fill="F7FAFC"/>
            <w:tcMar>
              <w:top w:type="dxa" w:w="80"/>
              <w:left w:type="dxa" w:w="100"/>
              <w:bottom w:type="dxa" w:w="80"/>
              <w:right w:type="dxa" w:w="100"/>
            </w:tcMar>
          </w:tcPr>
          <w:p>
            <w:r>
              <w:rPr>
                <w:b w:val="false"/>
                <w:bCs w:val="false"/>
                <w:color w:val="2D3748"/>
                <w:sz w:val="18"/>
                <w:szCs w:val="18"/>
              </w:rPr>
              <w:t xml:space="preserve">B-87\</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w:t>
            </w:r>
          </w:p>
        </w:tc>
      </w:tr>
      <w:tr>
        <w:trPr>
          <w:tblHeader w:val="false"/>
        </w:trPr>
        <w:tc>
          <w:tcPr>
            <w:tcMar>
              <w:top w:type="dxa" w:w="80"/>
              <w:left w:type="dxa" w:w="100"/>
              <w:bottom w:type="dxa" w:w="80"/>
              <w:right w:type="dxa" w:w="100"/>
            </w:tcMar>
          </w:tcPr>
          <w:p>
            <w:r>
              <w:rPr>
                <w:b/>
                <w:bCs/>
                <w:color w:val="2D3748"/>
                <w:sz w:val="18"/>
                <w:szCs w:val="18"/>
              </w:rPr>
              <w:t xml:space="preserve">Domicilio</w:t>
            </w:r>
          </w:p>
        </w:tc>
        <w:tc>
          <w:tcPr>
            <w:tcMar>
              <w:top w:type="dxa" w:w="80"/>
              <w:left w:type="dxa" w:w="100"/>
              <w:bottom w:type="dxa" w:w="80"/>
              <w:right w:type="dxa" w:w="100"/>
            </w:tcMar>
          </w:tcPr>
          <w:p>
            <w:r>
              <w:rPr>
                <w:b w:val="false"/>
                <w:bCs w:val="false"/>
                <w:color w:val="2D3748"/>
                <w:sz w:val="18"/>
                <w:szCs w:val="18"/>
              </w:rPr>
              <w:t xml:space="preserve">C/ Fernando el Católico 47, 2º izq., 28015 Madrid</w:t>
            </w:r>
          </w:p>
        </w:tc>
      </w:tr>
      <w:tr>
        <w:trPr>
          <w:tblHeader w:val="false"/>
        </w:trPr>
        <w:tc>
          <w:tcPr>
            <w:shd w:fill="F7FAFC"/>
            <w:tcMar>
              <w:top w:type="dxa" w:w="80"/>
              <w:left w:type="dxa" w:w="100"/>
              <w:bottom w:type="dxa" w:w="80"/>
              <w:right w:type="dxa" w:w="100"/>
            </w:tcMar>
          </w:tcPr>
          <w:p>
            <w:r>
              <w:rPr>
                <w:b/>
                <w:bCs/>
                <w:color w:val="2D3748"/>
                <w:sz w:val="18"/>
                <w:szCs w:val="18"/>
              </w:rPr>
              <w:t xml:space="preserve">Convenio aplicable</w:t>
            </w:r>
          </w:p>
        </w:tc>
        <w:tc>
          <w:tcPr>
            <w:shd w:fill="F7FAFC"/>
            <w:tcMar>
              <w:top w:type="dxa" w:w="80"/>
              <w:left w:type="dxa" w:w="100"/>
              <w:bottom w:type="dxa" w:w="80"/>
              <w:right w:type="dxa" w:w="100"/>
            </w:tcMar>
          </w:tcPr>
          <w:p>
            <w:r>
              <w:rPr>
                <w:b w:val="false"/>
                <w:bCs w:val="false"/>
                <w:color w:val="2D3748"/>
                <w:sz w:val="18"/>
                <w:szCs w:val="18"/>
              </w:rPr>
              <w:t xml:space="preserve">CC estatal de empresas de consultoría y estudios de mercado (BOE 18/03/2023)</w:t>
            </w:r>
          </w:p>
        </w:tc>
      </w:tr>
    </w:tbl>
    <w:p>
      <w:pPr>
        <w:spacing w:after="120"/>
      </w:pPr>
    </w:p>
    <w:p>
      <w:pPr>
        <w:pStyle w:val="Heading3"/>
        <w:spacing w:after="80" w:before="200"/>
      </w:pPr>
      <w:r>
        <w:rPr>
          <w:b/>
          <w:bCs/>
          <w:color w:val="2C5282"/>
          <w:sz w:val="22"/>
          <w:szCs w:val="22"/>
        </w:rPr>
        <w:t xml:space="preserve">1.3 Identificación del acto impugnado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Dato</w:t>
            </w:r>
          </w:p>
        </w:tc>
        <w:tc>
          <w:tcPr>
            <w:shd w:fill="EBF4FF"/>
            <w:tcMar>
              <w:top w:type="dxa" w:w="80"/>
              <w:left w:type="dxa" w:w="100"/>
              <w:bottom w:type="dxa" w:w="80"/>
              <w:right w:type="dxa" w:w="100"/>
            </w:tcMar>
          </w:tcPr>
          <w:p>
            <w:r>
              <w:rPr>
                <w:b/>
                <w:bCs/>
                <w:color w:val="1A365D"/>
                <w:sz w:val="18"/>
                <w:szCs w:val="18"/>
              </w:rPr>
              <w:t xml:space="preserve">Detalle</w:t>
            </w:r>
          </w:p>
        </w:tc>
      </w:tr>
      <w:tr>
        <w:trPr>
          <w:tblHeader w:val="false"/>
        </w:trPr>
        <w:tc>
          <w:tcPr>
            <w:tcMar>
              <w:top w:type="dxa" w:w="80"/>
              <w:left w:type="dxa" w:w="100"/>
              <w:bottom w:type="dxa" w:w="80"/>
              <w:right w:type="dxa" w:w="100"/>
            </w:tcMar>
          </w:tcPr>
          <w:p>
            <w:r>
              <w:rPr>
                <w:b/>
                <w:bCs/>
                <w:color w:val="2D3748"/>
                <w:sz w:val="18"/>
                <w:szCs w:val="18"/>
              </w:rPr>
              <w:t xml:space="preserve">Tipo de extinción</w:t>
            </w:r>
          </w:p>
        </w:tc>
        <w:tc>
          <w:tcPr>
            <w:tcMar>
              <w:top w:type="dxa" w:w="80"/>
              <w:left w:type="dxa" w:w="100"/>
              <w:bottom w:type="dxa" w:w="80"/>
              <w:right w:type="dxa" w:w="100"/>
            </w:tcMar>
          </w:tcPr>
          <w:p>
            <w:r>
              <w:rPr>
                <w:b w:val="false"/>
                <w:bCs w:val="false"/>
                <w:color w:val="2D3748"/>
                <w:sz w:val="18"/>
                <w:szCs w:val="18"/>
              </w:rPr>
              <w:t xml:space="preserve">Despido disciplinario</w:t>
            </w:r>
          </w:p>
        </w:tc>
      </w:tr>
      <w:tr>
        <w:trPr>
          <w:tblHeader w:val="false"/>
        </w:trPr>
        <w:tc>
          <w:tcPr>
            <w:shd w:fill="F7FAFC"/>
            <w:tcMar>
              <w:top w:type="dxa" w:w="80"/>
              <w:left w:type="dxa" w:w="100"/>
              <w:bottom w:type="dxa" w:w="80"/>
              <w:right w:type="dxa" w:w="100"/>
            </w:tcMar>
          </w:tcPr>
          <w:p>
            <w:r>
              <w:rPr>
                <w:b/>
                <w:bCs/>
                <w:color w:val="2D3748"/>
                <w:sz w:val="18"/>
                <w:szCs w:val="18"/>
              </w:rPr>
              <w:t xml:space="preserve">Fecha de efectos</w:t>
            </w:r>
          </w:p>
        </w:tc>
        <w:tc>
          <w:tcPr>
            <w:shd w:fill="F7FAFC"/>
            <w:tcMar>
              <w:top w:type="dxa" w:w="80"/>
              <w:left w:type="dxa" w:w="100"/>
              <w:bottom w:type="dxa" w:w="80"/>
              <w:right w:type="dxa" w:w="100"/>
            </w:tcMar>
          </w:tcPr>
          <w:p>
            <w:r>
              <w:rPr>
                <w:b w:val="false"/>
                <w:bCs w:val="false"/>
                <w:color w:val="2D3748"/>
                <w:sz w:val="18"/>
                <w:szCs w:val="18"/>
              </w:rPr>
              <w:t xml:space="preserve">14 de mayo de 2026</w:t>
            </w:r>
          </w:p>
        </w:tc>
      </w:tr>
      <w:tr>
        <w:trPr>
          <w:tblHeader w:val="false"/>
        </w:trPr>
        <w:tc>
          <w:tcPr>
            <w:tcMar>
              <w:top w:type="dxa" w:w="80"/>
              <w:left w:type="dxa" w:w="100"/>
              <w:bottom w:type="dxa" w:w="80"/>
              <w:right w:type="dxa" w:w="100"/>
            </w:tcMar>
          </w:tcPr>
          <w:p>
            <w:r>
              <w:rPr>
                <w:b/>
                <w:bCs/>
                <w:color w:val="2D3748"/>
                <w:sz w:val="18"/>
                <w:szCs w:val="18"/>
              </w:rPr>
              <w:t xml:space="preserve">Base legal invocada por la empresa</w:t>
            </w:r>
          </w:p>
        </w:tc>
        <w:tc>
          <w:tcPr>
            <w:tcMar>
              <w:top w:type="dxa" w:w="80"/>
              <w:left w:type="dxa" w:w="100"/>
              <w:bottom w:type="dxa" w:w="80"/>
              <w:right w:type="dxa" w:w="100"/>
            </w:tcMar>
          </w:tcPr>
          <w:p>
            <w:r>
              <w:rPr>
                <w:b w:val="false"/>
                <w:bCs w:val="false"/>
                <w:color w:val="2D3748"/>
                <w:sz w:val="18"/>
                <w:szCs w:val="18"/>
              </w:rPr>
              <w:t xml:space="preserve">Arts. 54.2 d) y e) del Estatuto de los Trabajadores</w:t>
            </w:r>
          </w:p>
        </w:tc>
      </w:tr>
      <w:tr>
        <w:trPr>
          <w:tblHeader w:val="false"/>
        </w:trPr>
        <w:tc>
          <w:tcPr>
            <w:shd w:fill="F7FAFC"/>
            <w:tcMar>
              <w:top w:type="dxa" w:w="80"/>
              <w:left w:type="dxa" w:w="100"/>
              <w:bottom w:type="dxa" w:w="80"/>
              <w:right w:type="dxa" w:w="100"/>
            </w:tcMar>
          </w:tcPr>
          <w:p>
            <w:r>
              <w:rPr>
                <w:b/>
                <w:bCs/>
                <w:color w:val="2D3748"/>
                <w:sz w:val="18"/>
                <w:szCs w:val="18"/>
              </w:rPr>
              <w:t xml:space="preserve">Motivos alegados</w:t>
            </w:r>
          </w:p>
        </w:tc>
        <w:tc>
          <w:tcPr>
            <w:shd w:fill="F7FAFC"/>
            <w:tcMar>
              <w:top w:type="dxa" w:w="80"/>
              <w:left w:type="dxa" w:w="100"/>
              <w:bottom w:type="dxa" w:w="80"/>
              <w:right w:type="dxa" w:w="100"/>
            </w:tcMar>
          </w:tcPr>
          <w:p>
            <w:r>
              <w:rPr>
                <w:b w:val="false"/>
                <w:bCs w:val="false"/>
                <w:color w:val="2D3748"/>
                <w:sz w:val="18"/>
                <w:szCs w:val="18"/>
              </w:rPr>
              <w:t xml:space="preserve">Transgresión de buena fe contractual, abuso de confianza, concurrencia desleal y disminución continuada y voluntaria del rendimiento</w:t>
            </w:r>
          </w:p>
        </w:tc>
      </w:tr>
    </w:tbl>
    <w:p>
      <w:pPr>
        <w:spacing w:after="120"/>
      </w:pPr>
    </w:p>
    <w:p>
      <w:pPr>
        <w:pStyle w:val="Heading3"/>
        <w:spacing w:after="80" w:before="200"/>
      </w:pPr>
      <w:r>
        <w:rPr>
          <w:b/>
          <w:bCs/>
          <w:color w:val="2C5282"/>
          <w:sz w:val="22"/>
          <w:szCs w:val="22"/>
        </w:rPr>
        <w:t xml:space="preserve">1.4 Pretensión del trabajador</w:t>
      </w:r>
    </w:p>
    <w:p>
      <w:pPr>
        <w:spacing w:after="120"/>
      </w:pPr>
      <w:r>
        <w:rPr>
          <w:color w:val="2D3748"/>
          <w:sz w:val="20"/>
          <w:szCs w:val="20"/>
        </w:rPr>
        <w:t xml:space="preserve">Declaración de </w:t>
      </w:r>
      <w:r>
        <w:rPr>
          <w:b/>
          <w:bCs/>
          <w:color w:val="2D3748"/>
          <w:sz w:val="20"/>
          <w:szCs w:val="20"/>
        </w:rPr>
        <w:t xml:space="preserve">improcedencia</w:t>
      </w:r>
      <w:r>
        <w:rPr>
          <w:color w:val="2D3748"/>
          <w:sz w:val="20"/>
          <w:szCs w:val="20"/>
        </w:rPr>
        <w:t xml:space="preserve"> del despido disciplinario (art. 56.1 ET), con </w:t>
      </w:r>
      <w:r>
        <w:rPr>
          <w:b/>
          <w:bCs/>
          <w:color w:val="2D3748"/>
          <w:sz w:val="20"/>
          <w:szCs w:val="20"/>
        </w:rPr>
        <w:t xml:space="preserve">opción indemnizatoria</w:t>
      </w:r>
      <w:r>
        <w:rPr>
          <w:color w:val="2D3748"/>
          <w:sz w:val="20"/>
          <w:szCs w:val="20"/>
        </w:rPr>
        <w:t xml:space="preserve">. El trabajador renuncia expresamente a solicitar la readmisión si la indemnización se ajusta a la legalidad.</w:t>
      </w:r>
    </w:p>
    <w:p>
      <w:pPr>
        <w:pBdr>
          <w:bottom w:val="single" w:color="CBD5E0" w:sz="6" w:space="4"/>
        </w:pBdr>
        <w:spacing w:after="120" w:before="80"/>
      </w:pPr>
    </w:p>
    <w:p>
      <w:pPr>
        <w:pStyle w:val="Heading2"/>
        <w:spacing w:after="80" w:before="200"/>
      </w:pPr>
      <w:r>
        <w:rPr>
          <w:b/>
          <w:bCs/>
          <w:color w:val="1A365D"/>
          <w:sz w:val="26"/>
          <w:szCs w:val="26"/>
        </w:rPr>
        <w:t xml:space="preserve">2. ANÁLISIS DE LOS CINCO MOTIVOS DE DESPIDO</w:t>
      </w:r>
    </w:p>
    <w:p>
      <w:pPr>
        <w:pStyle w:val="Heading3"/>
        <w:spacing w:after="80" w:before="200"/>
      </w:pPr>
      <w:r>
        <w:rPr>
          <w:b/>
          <w:bCs/>
          <w:color w:val="2C5282"/>
          <w:sz w:val="22"/>
          <w:szCs w:val="22"/>
        </w:rPr>
        <w:t xml:space="preserve">MOTIVO 1: 16 jornadas fichadas sin actividad en JIRA (15/02/2026 – 30/04/2026)</w:t>
      </w:r>
    </w:p>
    <w:p>
      <w:pPr>
        <w:spacing w:after="120"/>
      </w:pPr>
      <w:r>
        <w:rPr>
          <w:b/>
          <w:bCs/>
          <w:color w:val="2D3748"/>
          <w:sz w:val="20"/>
          <w:szCs w:val="20"/>
        </w:rPr>
        <w:t xml:space="preserve">Calificación en la carta:</w:t>
      </w:r>
      <w:r>
        <w:rPr>
          <w:color w:val="2D3748"/>
          <w:sz w:val="20"/>
          <w:szCs w:val="20"/>
        </w:rPr>
        <w:t xml:space="preserve"> Transgresión de buena fe contractual (art. 54.2 d) ET) y disminución continuada del rendimiento (art. 54.2 e) ET).</w:t>
      </w:r>
    </w:p>
    <w:p>
      <w:pPr>
        <w:spacing w:after="120"/>
      </w:pPr>
      <w:r>
        <w:rPr>
          <w:b/>
          <w:bCs/>
          <w:color w:val="2D3748"/>
          <w:sz w:val="20"/>
          <w:szCs w:val="20"/>
        </w:rPr>
        <w:t xml:space="preserve">Imputación concreta:</w:t>
      </w:r>
      <w:r>
        <w:rPr>
          <w:color w:val="2D3748"/>
          <w:sz w:val="20"/>
          <w:szCs w:val="20"/>
        </w:rPr>
        <w:t xml:space="preserve"> La empresa sostiene que en 16 jornadas Aitor fichó entrada pero no registró actividad superior a 5 horas consecutivas en el "sistema corporativo de gestión de tareas JIRA".</w:t>
      </w:r>
    </w:p>
    <w:p>
      <w:pPr>
        <w:spacing w:after="120"/>
      </w:pPr>
      <w:r>
        <w:rPr>
          <w:b/>
          <w:bCs/>
          <w:color w:val="2D3748"/>
          <w:sz w:val="20"/>
          <w:szCs w:val="20"/>
        </w:rPr>
        <w:t xml:space="preserve">Elementos de defensa:</w:t>
      </w:r>
    </w:p>
    <w:p>
      <w:pPr>
        <w:spacing w:after="120"/>
      </w:pPr>
      <w:r>
        <w:rPr>
          <w:color w:val="2D3748"/>
          <w:sz w:val="20"/>
          <w:szCs w:val="20"/>
        </w:rPr>
        <w:t xml:space="preserve">La carta de despido omite deliberadamente que desde febrero de 2026 D. Aitor M. S. fue reasignado al proyecto </w:t>
      </w:r>
      <w:r>
        <w:rPr>
          <w:b/>
          <w:bCs/>
          <w:color w:val="2D3748"/>
          <w:sz w:val="20"/>
          <w:szCs w:val="20"/>
        </w:rPr>
        <w:t xml:space="preserve">Nimbo Platform v2</w:t>
      </w:r>
      <w:r>
        <w:rPr>
          <w:color w:val="2D3748"/>
          <w:sz w:val="20"/>
          <w:szCs w:val="20"/>
        </w:rPr>
        <w:t xml:space="preserve">, gestionado en un tablón JIRA distinto denominado </w:t>
      </w:r>
      <w:r>
        <w:rPr>
          <w:b/>
          <w:bCs/>
          <w:color w:val="2D3748"/>
          <w:sz w:val="20"/>
          <w:szCs w:val="20"/>
        </w:rPr>
        <w:t xml:space="preserve">NB-PLAT</w:t>
      </w:r>
      <w:r>
        <w:rPr>
          <w:color w:val="2D3748"/>
          <w:sz w:val="20"/>
          <w:szCs w:val="20"/>
        </w:rPr>
        <w:t xml:space="preserve">, diferente del antiguo </w:t>
      </w:r>
      <w:r>
        <w:rPr>
          <w:b/>
          <w:bCs/>
          <w:color w:val="2D3748"/>
          <w:sz w:val="20"/>
          <w:szCs w:val="20"/>
        </w:rPr>
        <w:t xml:space="preserve">NB-BACK</w:t>
      </w:r>
      <w:r>
        <w:rPr>
          <w:color w:val="2D3748"/>
          <w:sz w:val="20"/>
          <w:szCs w:val="20"/>
        </w:rPr>
        <w:t xml:space="preserve"> al que se refiere implícitamente la empresa. En dicho tablón NB-PLAT, el trabajador registró:</w:t>
      </w:r>
    </w:p>
    <w:p>
      <w:pPr>
        <w:pStyle w:val="ListParagraph"/>
        <w:numPr>
          <w:ilvl w:val="0"/>
          <w:numId w:val="1"/>
        </w:numPr>
        <w:spacing w:after="60"/>
      </w:pPr>
      <w:r>
        <w:rPr>
          <w:color w:val="2D3748"/>
          <w:sz w:val="20"/>
          <w:szCs w:val="20"/>
        </w:rPr>
        <w:t xml:space="preserve">Una media de </w:t>
      </w:r>
      <w:r>
        <w:rPr>
          <w:b/>
          <w:bCs/>
          <w:color w:val="2D3748"/>
          <w:sz w:val="20"/>
          <w:szCs w:val="20"/>
        </w:rPr>
        <w:t xml:space="preserve">6 a 8 tickets semanales</w:t>
      </w:r>
    </w:p>
    <w:p>
      <w:pPr>
        <w:pStyle w:val="ListParagraph"/>
        <w:numPr>
          <w:ilvl w:val="0"/>
          <w:numId w:val="1"/>
        </w:numPr>
        <w:spacing w:after="60"/>
      </w:pPr>
      <w:r>
        <w:rPr>
          <w:color w:val="2D3748"/>
          <w:sz w:val="20"/>
          <w:szCs w:val="20"/>
        </w:rPr>
        <w:t xml:space="preserve">Un total de </w:t>
      </w:r>
      <w:r>
        <w:rPr>
          <w:b/>
          <w:bCs/>
          <w:color w:val="2D3748"/>
          <w:sz w:val="20"/>
          <w:szCs w:val="20"/>
        </w:rPr>
        <w:t xml:space="preserve">312 horas imputadas</w:t>
      </w:r>
      <w:r>
        <w:rPr>
          <w:color w:val="2D3748"/>
          <w:sz w:val="20"/>
          <w:szCs w:val="20"/>
        </w:rPr>
        <w:t xml:space="preserve"> entre febrero y abril de 2026</w:t>
      </w:r>
    </w:p>
    <w:p>
      <w:pPr>
        <w:pStyle w:val="ListParagraph"/>
        <w:numPr>
          <w:ilvl w:val="0"/>
          <w:numId w:val="1"/>
        </w:numPr>
        <w:spacing w:after="60"/>
      </w:pPr>
      <w:r>
        <w:rPr>
          <w:color w:val="2D3748"/>
          <w:sz w:val="20"/>
          <w:szCs w:val="20"/>
        </w:rPr>
        <w:t xml:space="preserve">Actividad continuada acreditada mediante capturas de pantalla del dashboard de contribuciones</w:t>
      </w:r>
    </w:p>
    <w:p>
      <w:pPr>
        <w:spacing w:after="120"/>
      </w:pPr>
      <w:r>
        <w:rPr>
          <w:b/>
          <w:bCs/>
          <w:color w:val="2D3748"/>
          <w:sz w:val="20"/>
          <w:szCs w:val="20"/>
        </w:rPr>
        <w:t xml:space="preserve">Prueba clave:</w:t>
      </w:r>
      <w:r>
        <w:rPr>
          <w:color w:val="2D3748"/>
          <w:sz w:val="20"/>
          <w:szCs w:val="20"/>
        </w:rPr>
        <w:t xml:space="preserve"> Correo electrónico de Dña. Marta del Valle (arquitecta de soluciones, responsable técnica del proyecto Nimbo, reporta directamente al CTO), de fecha </w:t>
      </w:r>
      <w:r>
        <w:rPr>
          <w:b/>
          <w:bCs/>
          <w:color w:val="2D3748"/>
          <w:sz w:val="20"/>
          <w:szCs w:val="20"/>
        </w:rPr>
        <w:t xml:space="preserve">25 de febrero de 2026</w:t>
      </w:r>
      <w:r>
        <w:rPr>
          <w:color w:val="2D3748"/>
          <w:sz w:val="20"/>
          <w:szCs w:val="20"/>
        </w:rPr>
        <w:t xml:space="preserve">, en formato .eml, instruyendo expresamente al trabajador: </w:t>
      </w:r>
      <w:r>
        <w:rPr>
          <w:i/>
          <w:iCs/>
          <w:color w:val="2D3748"/>
          <w:sz w:val="20"/>
          <w:szCs w:val="20"/>
        </w:rPr>
        <w:t xml:space="preserve">"De cara al reporte de tareas, imputa todo en el tablón NB-PLAT — el antiguo NB-BACK ya no lo uses, que está obsoleto."</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de 25 de enero de 2005 (RCUD 5765/2003):</w:t>
      </w:r>
      <w:r>
        <w:rPr>
          <w:color w:val="2D3748"/>
          <w:sz w:val="20"/>
          <w:szCs w:val="20"/>
        </w:rPr>
        <w:t xml:space="preserve"> La disminución de rendimiento del art. 54.2 e) ET debe ser </w:t>
      </w:r>
      <w:r>
        <w:rPr>
          <w:i/>
          <w:iCs/>
          <w:color w:val="2D3748"/>
          <w:sz w:val="20"/>
          <w:szCs w:val="20"/>
        </w:rPr>
        <w:t xml:space="preserve">continuada, voluntaria y comparada con un rendimiento previo homogéneo o con el de otros trabajadores en idénticas condiciones</w:t>
      </w:r>
      <w:r>
        <w:rPr>
          <w:color w:val="2D3748"/>
          <w:sz w:val="20"/>
          <w:szCs w:val="20"/>
        </w:rPr>
        <w:t xml:space="preserve">. Si la empresa mide el rendimiento con parámetros inadecuados (en este caso, un tablón JIRA que el trabajador tenía instrucciones de no utilizar), no puede imputar bajada de rendimiento.</w:t>
      </w:r>
    </w:p>
    <w:p>
      <w:pPr>
        <w:pStyle w:val="ListParagraph"/>
        <w:numPr>
          <w:ilvl w:val="0"/>
          <w:numId w:val="1"/>
        </w:numPr>
        <w:spacing w:after="60"/>
      </w:pPr>
      <w:r>
        <w:rPr>
          <w:b/>
          <w:bCs/>
          <w:color w:val="2D3748"/>
          <w:sz w:val="20"/>
          <w:szCs w:val="20"/>
        </w:rPr>
        <w:t xml:space="preserve">STS de 30 de octubre de 2007 (RCUD 3876/2006):</w:t>
      </w:r>
      <w:r>
        <w:rPr>
          <w:color w:val="2D3748"/>
          <w:sz w:val="20"/>
          <w:szCs w:val="20"/>
        </w:rPr>
        <w:t xml:space="preserve"> La transgresión de buena fe contractual requiere que la conducta del trabajador sea </w:t>
      </w:r>
      <w:r>
        <w:rPr>
          <w:i/>
          <w:iCs/>
          <w:color w:val="2D3748"/>
          <w:sz w:val="20"/>
          <w:szCs w:val="20"/>
        </w:rPr>
        <w:t xml:space="preserve">dolosa o gravemente negligente</w:t>
      </w:r>
      <w:r>
        <w:rPr>
          <w:color w:val="2D3748"/>
          <w:sz w:val="20"/>
          <w:szCs w:val="20"/>
        </w:rPr>
        <w:t xml:space="preserve">. No cabe apreciar mala fe cuando el trabajador sigue instrucciones expresas de un superior jerárquico.</w:t>
      </w:r>
    </w:p>
    <w:p>
      <w:pPr>
        <w:pStyle w:val="ListParagraph"/>
        <w:numPr>
          <w:ilvl w:val="0"/>
          <w:numId w:val="1"/>
        </w:numPr>
        <w:spacing w:after="60"/>
      </w:pPr>
      <w:r>
        <w:rPr>
          <w:b/>
          <w:bCs/>
          <w:color w:val="2D3748"/>
          <w:sz w:val="20"/>
          <w:szCs w:val="20"/>
        </w:rPr>
        <w:t xml:space="preserve">STS de 21 de septiembre de 2017 (Rec. 2397/2015):</w:t>
      </w:r>
      <w:r>
        <w:rPr>
          <w:color w:val="2D3748"/>
          <w:sz w:val="20"/>
          <w:szCs w:val="20"/>
        </w:rPr>
        <w:t xml:space="preserve"> En materia de despido disciplinario, la carga de la prueba sobre la realidad y gravedad de los hechos incumbe exclusivamente a la empresa (art. 105.1 LRJS). La insuficiencia probatoria conduce necesariamente a la improcedencia.</w:t>
      </w:r>
    </w:p>
    <w:p>
      <w:pPr>
        <w:spacing w:after="120"/>
      </w:pPr>
      <w:r>
        <w:rPr>
          <w:b/>
          <w:bCs/>
          <w:color w:val="2D3748"/>
          <w:sz w:val="20"/>
          <w:szCs w:val="20"/>
        </w:rPr>
        <w:t xml:space="preserve">Valoración: la imputación no se sostiene.</w:t>
      </w:r>
      <w:r>
        <w:rPr>
          <w:color w:val="2D3748"/>
          <w:sz w:val="20"/>
          <w:szCs w:val="20"/>
        </w:rPr>
        <w:t xml:space="preserve"> La empresa ha construido esta causa sobre un tablón JIRA equivocado, ignorando u ocultando el proyecto real de adscripción del trabajador. Constituye la prueba más evidente de </w:t>
      </w:r>
      <w:r>
        <w:rPr>
          <w:b/>
          <w:bCs/>
          <w:color w:val="2D3748"/>
          <w:sz w:val="20"/>
          <w:szCs w:val="20"/>
        </w:rPr>
        <w:t xml:space="preserve">causa de despido fabricada</w:t>
      </w:r>
      <w:r>
        <w:rPr>
          <w:color w:val="2D3748"/>
          <w:sz w:val="20"/>
          <w:szCs w:val="20"/>
        </w:rPr>
        <w:t xml:space="preser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Probabilidad de que prospere para la empresa</w:t>
            </w:r>
          </w:p>
        </w:tc>
        <w:tc>
          <w:tcPr>
            <w:shd w:fill="EBF4FF"/>
            <w:tcMar>
              <w:top w:type="dxa" w:w="80"/>
              <w:left w:type="dxa" w:w="100"/>
              <w:bottom w:type="dxa" w:w="80"/>
              <w:right w:type="dxa" w:w="100"/>
            </w:tcMar>
          </w:tcPr>
          <w:p>
            <w:r>
              <w:rPr>
                <w:b/>
                <w:bCs/>
                <w:color w:val="1A365D"/>
                <w:sz w:val="18"/>
                <w:szCs w:val="18"/>
              </w:rPr>
              <w:t xml:space="preserve">Muy baja: 10-15 %</w:t>
            </w:r>
          </w:p>
        </w:tc>
      </w:tr>
    </w:tbl>
    <w:p>
      <w:pPr>
        <w:spacing w:after="120"/>
      </w:pPr>
    </w:p>
    <w:p>
      <w:pPr>
        <w:pBdr>
          <w:bottom w:val="single" w:color="CBD5E0" w:sz="6" w:space="4"/>
        </w:pBdr>
        <w:spacing w:after="120" w:before="80"/>
      </w:pPr>
    </w:p>
    <w:p>
      <w:pPr>
        <w:pStyle w:val="Heading3"/>
        <w:spacing w:after="80" w:before="200"/>
      </w:pPr>
      <w:r>
        <w:rPr>
          <w:b/>
          <w:bCs/>
          <w:color w:val="2C5282"/>
          <w:sz w:val="22"/>
          <w:szCs w:val="22"/>
        </w:rPr>
        <w:t xml:space="preserve">MOTIVO 2: Incomunicación en Slack los días 4, 11 y 18 de marzo de 2026</w:t>
      </w:r>
    </w:p>
    <w:p>
      <w:pPr>
        <w:spacing w:after="120"/>
      </w:pPr>
      <w:r>
        <w:rPr>
          <w:b/>
          <w:bCs/>
          <w:color w:val="2D3748"/>
          <w:sz w:val="20"/>
          <w:szCs w:val="20"/>
        </w:rPr>
        <w:t xml:space="preserve">Calificación en la carta:</w:t>
      </w:r>
      <w:r>
        <w:rPr>
          <w:color w:val="2D3748"/>
          <w:sz w:val="20"/>
          <w:szCs w:val="20"/>
        </w:rPr>
        <w:t xml:space="preserve"> Transgresión de buena fe contractual (art. 54.2 d) ET).</w:t>
      </w:r>
    </w:p>
    <w:p>
      <w:pPr>
        <w:spacing w:after="120"/>
      </w:pPr>
      <w:r>
        <w:rPr>
          <w:b/>
          <w:bCs/>
          <w:color w:val="2D3748"/>
          <w:sz w:val="20"/>
          <w:szCs w:val="20"/>
        </w:rPr>
        <w:t xml:space="preserve">Imputación concreta:</w:t>
      </w:r>
      <w:r>
        <w:rPr>
          <w:color w:val="2D3748"/>
          <w:sz w:val="20"/>
          <w:szCs w:val="20"/>
        </w:rPr>
        <w:t xml:space="preserve"> Compañeros Dña. L.P.R. y D. F.J.M.V. manifestaron "verbalmente" al team lead D. I.B.S. que el trabajador no respondía a comunicaciones en el canal </w:t>
      </w:r>
      <w:r>
        <w:rPr>
          <w:b/>
          <w:bCs/>
          <w:color w:val="2D3748"/>
          <w:sz w:val="20"/>
          <w:szCs w:val="20"/>
        </w:rPr>
        <w:t xml:space="preserve">#equipo-backend</w:t>
      </w:r>
      <w:r>
        <w:rPr>
          <w:color w:val="2D3748"/>
          <w:sz w:val="20"/>
          <w:szCs w:val="20"/>
        </w:rPr>
        <w:t xml:space="preserve">.</w:t>
      </w:r>
    </w:p>
    <w:p>
      <w:pPr>
        <w:spacing w:after="120"/>
      </w:pPr>
      <w:r>
        <w:rPr>
          <w:b/>
          <w:bCs/>
          <w:color w:val="2D3748"/>
          <w:sz w:val="20"/>
          <w:szCs w:val="20"/>
        </w:rPr>
        <w:t xml:space="preserve">Elementos de defensa:</w:t>
      </w:r>
    </w:p>
    <w:p>
      <w:pPr>
        <w:pStyle w:val="ListParagraph"/>
        <w:numPr>
          <w:ilvl w:val="0"/>
          <w:numId w:val="1"/>
        </w:numPr>
        <w:spacing w:after="60"/>
      </w:pPr>
      <w:r>
        <w:rPr>
          <w:color w:val="2D3748"/>
          <w:sz w:val="20"/>
          <w:szCs w:val="20"/>
        </w:rPr>
        <w:t xml:space="preserve">El canal #equipo-backend corresponde al proyecto antiguo. Desde su reasignación en febrero de 2026, todas las comunicaciones del trabajador se canalizaban en el canal </w:t>
      </w:r>
      <w:r>
        <w:rPr>
          <w:b/>
          <w:bCs/>
          <w:color w:val="2D3748"/>
          <w:sz w:val="20"/>
          <w:szCs w:val="20"/>
        </w:rPr>
        <w:t xml:space="preserve">#nimbo-platform</w:t>
      </w:r>
      <w:r>
        <w:rPr>
          <w:color w:val="2D3748"/>
          <w:sz w:val="20"/>
          <w:szCs w:val="20"/>
        </w:rPr>
        <w:t xml:space="preserve"> y en mensajes directos con Dña. Marta del Valle.</w:t>
      </w:r>
    </w:p>
    <w:p>
      <w:pPr>
        <w:pStyle w:val="ListParagraph"/>
        <w:numPr>
          <w:ilvl w:val="0"/>
          <w:numId w:val="1"/>
        </w:numPr>
        <w:spacing w:after="60"/>
      </w:pPr>
      <w:r>
        <w:rPr>
          <w:color w:val="2D3748"/>
          <w:sz w:val="20"/>
          <w:szCs w:val="20"/>
        </w:rPr>
        <w:t xml:space="preserve">Los días 4, 11 y 18 de marzo de 2026, el trabajador participó en los </w:t>
      </w:r>
      <w:r>
        <w:rPr>
          <w:b/>
          <w:bCs/>
          <w:color w:val="2D3748"/>
          <w:sz w:val="20"/>
          <w:szCs w:val="20"/>
        </w:rPr>
        <w:t xml:space="preserve">stand-ups diarios de Nimbo (9:30-10:00 h)</w:t>
      </w:r>
      <w:r>
        <w:rPr>
          <w:color w:val="2D3748"/>
          <w:sz w:val="20"/>
          <w:szCs w:val="20"/>
        </w:rPr>
        <w:t xml:space="preserve"> a través de Google Meet, con registros de asistencia verificables.</w:t>
      </w:r>
    </w:p>
    <w:p>
      <w:pPr>
        <w:pStyle w:val="ListParagraph"/>
        <w:numPr>
          <w:ilvl w:val="0"/>
          <w:numId w:val="1"/>
        </w:numPr>
        <w:spacing w:after="60"/>
      </w:pPr>
      <w:r>
        <w:rPr>
          <w:color w:val="2D3748"/>
          <w:sz w:val="20"/>
          <w:szCs w:val="20"/>
        </w:rPr>
        <w:t xml:space="preserve">Los compañeros denunciantes pertenecen al equipo antiguo y desconocen los procesos de Nimbo.</w:t>
      </w:r>
    </w:p>
    <w:p>
      <w:pPr>
        <w:pStyle w:val="ListParagraph"/>
        <w:numPr>
          <w:ilvl w:val="0"/>
          <w:numId w:val="1"/>
        </w:numPr>
        <w:spacing w:after="60"/>
      </w:pPr>
      <w:r>
        <w:rPr>
          <w:color w:val="2D3748"/>
          <w:sz w:val="20"/>
          <w:szCs w:val="20"/>
        </w:rPr>
        <w:t xml:space="preserve">El team lead D. I.B.S. arrastra una relación deteriorada con el trabajador desde una discusión técnica en diciembre de 2025, lo que compromete la imparcialidad de la denuncia interna.</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de 27 de enero de 2009 (Rec. 602/2008):</w:t>
      </w:r>
      <w:r>
        <w:rPr>
          <w:color w:val="2D3748"/>
          <w:sz w:val="20"/>
          <w:szCs w:val="20"/>
        </w:rPr>
        <w:t xml:space="preserve"> Las manifestaciones verbales de compañeros de trabajo, no plasmadas documentalmente y canalizadas por un único mando intermedio, constituyen prueba insuficiente para fundar un despido disciplinario. El requisito de tipicidad y prueba del art. 55.1 ET exige concreción y acreditación fehaciente.</w:t>
      </w:r>
    </w:p>
    <w:p>
      <w:pPr>
        <w:pStyle w:val="ListParagraph"/>
        <w:numPr>
          <w:ilvl w:val="0"/>
          <w:numId w:val="1"/>
        </w:numPr>
        <w:spacing w:after="60"/>
      </w:pPr>
      <w:r>
        <w:rPr>
          <w:b/>
          <w:bCs/>
          <w:color w:val="2D3748"/>
          <w:sz w:val="20"/>
          <w:szCs w:val="20"/>
        </w:rPr>
        <w:t xml:space="preserve">STS de 29 de marzo de 2017 (Rec. 2352/2015):</w:t>
      </w:r>
      <w:r>
        <w:rPr>
          <w:color w:val="2D3748"/>
          <w:sz w:val="20"/>
          <w:szCs w:val="20"/>
        </w:rPr>
        <w:t xml:space="preserve"> La falta de respuesta a comunicaciones en un canal no asignado al trabajador no puede calificarse como insubordinación ni como transgresión de buena fe, cuando existe un canal alternativo operativo y el trabajador desarrolla su actividad ordinaria a través del mismo.</w:t>
      </w:r>
    </w:p>
    <w:p>
      <w:pPr>
        <w:spacing w:after="120"/>
      </w:pPr>
      <w:r>
        <w:rPr>
          <w:b/>
          <w:bCs/>
          <w:color w:val="2D3748"/>
          <w:sz w:val="20"/>
          <w:szCs w:val="20"/>
        </w:rPr>
        <w:t xml:space="preserve">Valoración: la imputación es muy débil.</w:t>
      </w:r>
      <w:r>
        <w:rPr>
          <w:color w:val="2D3748"/>
          <w:sz w:val="20"/>
          <w:szCs w:val="20"/>
        </w:rPr>
        <w:t xml:space="preserve"> Se sustenta en testimonio verbal indirecto, canalizado por un mando con conflicto de interés, referido a un canal de comunicación que no era el del trabajador. La prueba de asistencia a stand-ups la desmonta completamente.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Probabilidad de que prospere para la empresa</w:t>
            </w:r>
          </w:p>
        </w:tc>
        <w:tc>
          <w:tcPr>
            <w:shd w:fill="EBF4FF"/>
            <w:tcMar>
              <w:top w:type="dxa" w:w="80"/>
              <w:left w:type="dxa" w:w="100"/>
              <w:bottom w:type="dxa" w:w="80"/>
              <w:right w:type="dxa" w:w="100"/>
            </w:tcMar>
          </w:tcPr>
          <w:p>
            <w:r>
              <w:rPr>
                <w:b/>
                <w:bCs/>
                <w:color w:val="1A365D"/>
                <w:sz w:val="18"/>
                <w:szCs w:val="18"/>
              </w:rPr>
              <w:t xml:space="preserve">Baja: 10-15 %</w:t>
            </w:r>
          </w:p>
        </w:tc>
      </w:tr>
    </w:tbl>
    <w:p>
      <w:pPr>
        <w:spacing w:after="120"/>
      </w:pPr>
    </w:p>
    <w:p>
      <w:pPr>
        <w:pBdr>
          <w:bottom w:val="single" w:color="CBD5E0" w:sz="6" w:space="4"/>
        </w:pBdr>
        <w:spacing w:after="120" w:before="80"/>
      </w:pPr>
    </w:p>
    <w:p>
      <w:pPr>
        <w:pStyle w:val="Heading3"/>
        <w:spacing w:after="80" w:before="200"/>
      </w:pPr>
      <w:r>
        <w:rPr>
          <w:b/>
          <w:bCs/>
          <w:color w:val="2C5282"/>
          <w:sz w:val="22"/>
          <w:szCs w:val="22"/>
        </w:rPr>
        <w:t xml:space="preserve">MOTIVO 3: Ausencia injustificada del 22 de abril de 2026</w:t>
      </w:r>
    </w:p>
    <w:p>
      <w:pPr>
        <w:spacing w:after="120"/>
      </w:pPr>
      <w:r>
        <w:rPr>
          <w:b/>
          <w:bCs/>
          <w:color w:val="2D3748"/>
          <w:sz w:val="20"/>
          <w:szCs w:val="20"/>
        </w:rPr>
        <w:t xml:space="preserve">Calificación en la carta:</w:t>
      </w:r>
      <w:r>
        <w:rPr>
          <w:color w:val="2D3748"/>
          <w:sz w:val="20"/>
          <w:szCs w:val="20"/>
        </w:rPr>
        <w:t xml:space="preserve"> Transgresión de buena fe contractual (art. 54.2 d) ET). La empresa señala que el trabajador figuraba fichado desde las 8:47 h pero fue hallado ausente presencialmente por el team lead, regresando a las 12:33 h sin justificación.</w:t>
      </w:r>
    </w:p>
    <w:p>
      <w:pPr>
        <w:spacing w:after="120"/>
      </w:pPr>
      <w:r>
        <w:rPr>
          <w:b/>
          <w:bCs/>
          <w:color w:val="2D3748"/>
          <w:sz w:val="20"/>
          <w:szCs w:val="20"/>
        </w:rPr>
        <w:t xml:space="preserve">Elementos de defensa:</w:t>
      </w:r>
    </w:p>
    <w:p>
      <w:pPr>
        <w:spacing w:after="120"/>
      </w:pPr>
      <w:r>
        <w:rPr>
          <w:color w:val="2D3748"/>
          <w:sz w:val="20"/>
          <w:szCs w:val="20"/>
        </w:rPr>
        <w:t xml:space="preserve">Obra ahora en el expediente el </w:t>
      </w:r>
      <w:r>
        <w:rPr>
          <w:b/>
          <w:bCs/>
          <w:color w:val="2D3748"/>
          <w:sz w:val="20"/>
          <w:szCs w:val="20"/>
        </w:rPr>
        <w:t xml:space="preserve">parte médico de asistencia urgente del Hospital Clínico Universitario</w:t>
      </w:r>
      <w:r>
        <w:rPr>
          <w:color w:val="2D3748"/>
          <w:sz w:val="20"/>
          <w:szCs w:val="20"/>
        </w:rPr>
        <w:t xml:space="preserve"> correspondiente a ese día, que acredita:</w:t>
      </w:r>
    </w:p>
    <w:p>
      <w:pPr>
        <w:pStyle w:val="ListParagraph"/>
        <w:numPr>
          <w:ilvl w:val="0"/>
          <w:numId w:val="1"/>
        </w:numPr>
        <w:spacing w:after="60"/>
      </w:pPr>
      <w:r>
        <w:rPr>
          <w:b/>
          <w:bCs/>
          <w:color w:val="2D3748"/>
          <w:sz w:val="20"/>
          <w:szCs w:val="20"/>
        </w:rPr>
        <w:t xml:space="preserve">Hora de admisión en urgencias:</w:t>
      </w:r>
      <w:r>
        <w:rPr>
          <w:color w:val="2D3748"/>
          <w:sz w:val="20"/>
          <w:szCs w:val="20"/>
        </w:rPr>
        <w:t xml:space="preserve"> 10:47 h</w:t>
      </w:r>
    </w:p>
    <w:p>
      <w:pPr>
        <w:pStyle w:val="ListParagraph"/>
        <w:numPr>
          <w:ilvl w:val="0"/>
          <w:numId w:val="1"/>
        </w:numPr>
        <w:spacing w:after="60"/>
      </w:pPr>
      <w:r>
        <w:rPr>
          <w:b/>
          <w:bCs/>
          <w:color w:val="2D3748"/>
          <w:sz w:val="20"/>
          <w:szCs w:val="20"/>
        </w:rPr>
        <w:t xml:space="preserve">Motivo de consulta:</w:t>
      </w:r>
      <w:r>
        <w:rPr>
          <w:color w:val="2D3748"/>
          <w:sz w:val="20"/>
          <w:szCs w:val="20"/>
        </w:rPr>
        <w:t xml:space="preserve"> Dolor torácico opresivo de inicio brusco a las 09:50 h, acompañado de disnea, sudoración fría y parestesias en miembro superior izquierdo. El paciente refiere </w:t>
      </w:r>
      <w:r>
        <w:rPr>
          <w:i/>
          <w:iCs/>
          <w:color w:val="2D3748"/>
          <w:sz w:val="20"/>
          <w:szCs w:val="20"/>
        </w:rPr>
        <w:t xml:space="preserve">"estrés laboral agudo (situación de despido inminente según manifiesta)"</w:t>
      </w:r>
      <w:r>
        <w:rPr>
          <w:color w:val="2D3748"/>
          <w:sz w:val="20"/>
          <w:szCs w:val="20"/>
        </w:rPr>
        <w:t xml:space="preserve">.</w:t>
      </w:r>
    </w:p>
    <w:p>
      <w:pPr>
        <w:pStyle w:val="ListParagraph"/>
        <w:numPr>
          <w:ilvl w:val="0"/>
          <w:numId w:val="1"/>
        </w:numPr>
        <w:spacing w:after="60"/>
      </w:pPr>
      <w:r>
        <w:rPr>
          <w:b/>
          <w:bCs/>
          <w:color w:val="2D3748"/>
          <w:sz w:val="20"/>
          <w:szCs w:val="20"/>
        </w:rPr>
        <w:t xml:space="preserve">Diagnóstico:</w:t>
      </w:r>
      <w:r>
        <w:rPr>
          <w:color w:val="2D3748"/>
          <w:sz w:val="20"/>
          <w:szCs w:val="20"/>
        </w:rPr>
        <w:t xml:space="preserve"> Crisis de ansiedad con sintomatología cardiogénica funcional. Descartado síndrome coronario agudo.</w:t>
      </w:r>
    </w:p>
    <w:p>
      <w:pPr>
        <w:pStyle w:val="ListParagraph"/>
        <w:numPr>
          <w:ilvl w:val="0"/>
          <w:numId w:val="1"/>
        </w:numPr>
        <w:spacing w:after="60"/>
      </w:pPr>
      <w:r>
        <w:rPr>
          <w:b/>
          <w:bCs/>
          <w:color w:val="2D3748"/>
          <w:sz w:val="20"/>
          <w:szCs w:val="20"/>
        </w:rPr>
        <w:t xml:space="preserve">Tratamiento:</w:t>
      </w:r>
      <w:r>
        <w:rPr>
          <w:color w:val="2D3748"/>
          <w:sz w:val="20"/>
          <w:szCs w:val="20"/>
        </w:rPr>
        <w:t xml:space="preserve"> Lorazepam 1 mg sublingual, Paracetamol 1 g iv, observación 3 horas.</w:t>
      </w:r>
    </w:p>
    <w:p>
      <w:pPr>
        <w:pStyle w:val="ListParagraph"/>
        <w:numPr>
          <w:ilvl w:val="0"/>
          <w:numId w:val="1"/>
        </w:numPr>
        <w:spacing w:after="60"/>
      </w:pPr>
      <w:r>
        <w:rPr>
          <w:b/>
          <w:bCs/>
          <w:color w:val="2D3748"/>
          <w:sz w:val="20"/>
          <w:szCs w:val="20"/>
        </w:rPr>
        <w:t xml:space="preserve">Alta hospitalaria:</w:t>
      </w:r>
      <w:r>
        <w:rPr>
          <w:color w:val="2D3748"/>
          <w:sz w:val="20"/>
          <w:szCs w:val="20"/>
        </w:rPr>
        <w:t xml:space="preserve"> 14:12 h.</w:t>
      </w:r>
    </w:p>
    <w:p>
      <w:pPr>
        <w:pStyle w:val="ListParagraph"/>
        <w:numPr>
          <w:ilvl w:val="0"/>
          <w:numId w:val="1"/>
        </w:numPr>
        <w:spacing w:after="60"/>
      </w:pPr>
      <w:r>
        <w:rPr>
          <w:b/>
          <w:bCs/>
          <w:color w:val="2D3748"/>
          <w:sz w:val="20"/>
          <w:szCs w:val="20"/>
        </w:rPr>
        <w:t xml:space="preserve">Baja laboral:</w:t>
      </w:r>
      <w:r>
        <w:rPr>
          <w:color w:val="2D3748"/>
          <w:sz w:val="20"/>
          <w:szCs w:val="20"/>
        </w:rPr>
        <w:t xml:space="preserve"> Expedida por proceso común con fecha de inicio 22/04/2026, duración estimada de 2 días.</w:t>
      </w:r>
    </w:p>
    <w:p>
      <w:pPr>
        <w:spacing w:after="120"/>
      </w:pPr>
      <w:r>
        <w:rPr>
          <w:b/>
          <w:bCs/>
          <w:color w:val="2D3748"/>
          <w:sz w:val="20"/>
          <w:szCs w:val="20"/>
        </w:rPr>
        <w:t xml:space="preserve">Análisis:</w:t>
      </w:r>
    </w:p>
    <w:p>
      <w:pPr>
        <w:spacing w:after="120"/>
      </w:pPr>
      <w:r>
        <w:rPr>
          <w:color w:val="2D3748"/>
          <w:sz w:val="20"/>
          <w:szCs w:val="20"/>
        </w:rPr>
        <w:t xml:space="preserve">La ausencia no solo está </w:t>
      </w:r>
      <w:r>
        <w:rPr>
          <w:b/>
          <w:bCs/>
          <w:color w:val="2D3748"/>
          <w:sz w:val="20"/>
          <w:szCs w:val="20"/>
        </w:rPr>
        <w:t xml:space="preserve">plenamente justificada por causa médica de urgencia</w:t>
      </w:r>
      <w:r>
        <w:rPr>
          <w:color w:val="2D3748"/>
          <w:sz w:val="20"/>
          <w:szCs w:val="20"/>
        </w:rPr>
        <w:t xml:space="preserve">, sino que el propio parte médico vincula la crisis de ansiedad al </w:t>
      </w:r>
      <w:r>
        <w:rPr>
          <w:b/>
          <w:bCs/>
          <w:color w:val="2D3748"/>
          <w:sz w:val="20"/>
          <w:szCs w:val="20"/>
        </w:rPr>
        <w:t xml:space="preserve">estrés laboral derivado del despido que la empresa estaba orquestando</w:t>
      </w:r>
      <w:r>
        <w:rPr>
          <w:color w:val="2D3748"/>
          <w:sz w:val="20"/>
          <w:szCs w:val="20"/>
        </w:rPr>
        <w:t xml:space="preserve">. Esto transforma lo que la empresa presentaba como punto de cargo en un </w:t>
      </w:r>
      <w:r>
        <w:rPr>
          <w:b/>
          <w:bCs/>
          <w:color w:val="2D3748"/>
          <w:sz w:val="20"/>
          <w:szCs w:val="20"/>
        </w:rPr>
        <w:t xml:space="preserve">elemento favorable al trabajador</w:t>
      </w:r>
      <w:r>
        <w:rPr>
          <w:color w:val="2D3748"/>
          <w:sz w:val="20"/>
          <w:szCs w:val="20"/>
        </w:rPr>
        <w:t xml:space="preserve">: la conducta empresarial estaba causando daño a la salud del empleado.</w:t>
      </w:r>
    </w:p>
    <w:p>
      <w:pPr>
        <w:spacing w:after="120"/>
      </w:pPr>
      <w:r>
        <w:rPr>
          <w:color w:val="2D3748"/>
          <w:sz w:val="20"/>
          <w:szCs w:val="20"/>
        </w:rPr>
        <w:t xml:space="preserve">Adicionalmente, el hecho de que la empresa impute como falta disciplinaria una ausencia que se debió a una urgencia hospitalaria, sin haber recabado información médica previa al despido, evidencia </w:t>
      </w:r>
      <w:r>
        <w:rPr>
          <w:b/>
          <w:bCs/>
          <w:color w:val="2D3748"/>
          <w:sz w:val="20"/>
          <w:szCs w:val="20"/>
        </w:rPr>
        <w:t xml:space="preserve">falta de diligencia en la investigación disciplinaria</w:t>
      </w:r>
      <w:r>
        <w:rPr>
          <w:color w:val="2D3748"/>
          <w:sz w:val="20"/>
          <w:szCs w:val="20"/>
        </w:rPr>
        <w:t xml:space="preserve"> y refuerza la tesis de causa instrumental.</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de 22 de noviembre de 2007 (RCUD 3907/2006):</w:t>
      </w:r>
      <w:r>
        <w:rPr>
          <w:color w:val="2D3748"/>
          <w:sz w:val="20"/>
          <w:szCs w:val="20"/>
        </w:rPr>
        <w:t xml:space="preserve"> La ausencia del puesto de trabajo motivada por asistencia a urgencias hospitalarias constituye causa justificada a todos los efectos, aun cuando el trabajador no haya podido comunicarla con anterioridad dada la naturaleza súbita del episodio médico.</w:t>
      </w:r>
    </w:p>
    <w:p>
      <w:pPr>
        <w:pStyle w:val="ListParagraph"/>
        <w:numPr>
          <w:ilvl w:val="0"/>
          <w:numId w:val="1"/>
        </w:numPr>
        <w:spacing w:after="60"/>
      </w:pPr>
      <w:r>
        <w:rPr>
          <w:b/>
          <w:bCs/>
          <w:color w:val="2D3748"/>
          <w:sz w:val="20"/>
          <w:szCs w:val="20"/>
        </w:rPr>
        <w:t xml:space="preserve">STS de 3 de noviembre de 2011 (Rec. 4106/2010):</w:t>
      </w:r>
      <w:r>
        <w:rPr>
          <w:color w:val="2D3748"/>
          <w:sz w:val="20"/>
          <w:szCs w:val="20"/>
        </w:rPr>
        <w:t xml:space="preserve"> La empresa que imputa como falta disciplinaria una conducta que desconoce estar médicamente justificada actúa con un rigor desproporcionado incompatible con las exigencias de buena fe del art. 20.2 ET. Tal imputación refuerza, en su caso, la calificación de improcedencia.</w:t>
      </w:r>
    </w:p>
    <w:p>
      <w:pPr>
        <w:pStyle w:val="ListParagraph"/>
        <w:numPr>
          <w:ilvl w:val="0"/>
          <w:numId w:val="1"/>
        </w:numPr>
        <w:spacing w:after="60"/>
      </w:pPr>
      <w:r>
        <w:rPr>
          <w:b/>
          <w:bCs/>
          <w:color w:val="2D3748"/>
          <w:sz w:val="20"/>
          <w:szCs w:val="20"/>
        </w:rPr>
        <w:t xml:space="preserve">Doctrina gradualista consolidada (por todas, STS de 16 de enero de 1990, en adelante):</w:t>
      </w:r>
      <w:r>
        <w:rPr>
          <w:color w:val="2D3748"/>
          <w:sz w:val="20"/>
          <w:szCs w:val="20"/>
        </w:rPr>
        <w:t xml:space="preserve"> Aun en el supuesto de que la ausencia no estuviera justificada, una sola ausencia parcial (~4 horas), aislada, en un historial de 7 años y 8 meses sin sanción previa alguna, no reúne los requisitos de gravedad y culpabilidad del art. 54.1 ET para sustentar un despido disciplinario.</w:t>
      </w:r>
    </w:p>
    <w:p>
      <w:pPr>
        <w:spacing w:after="120"/>
      </w:pPr>
      <w:r>
        <w:rPr>
          <w:b/>
          <w:bCs/>
          <w:color w:val="2D3748"/>
          <w:sz w:val="20"/>
          <w:szCs w:val="20"/>
        </w:rPr>
        <w:t xml:space="preserve">Valoración: la imputación se vuelve contraproducente para la empresa.</w:t>
      </w:r>
      <w:r>
        <w:rPr>
          <w:color w:val="2D3748"/>
          <w:sz w:val="20"/>
          <w:szCs w:val="20"/>
        </w:rPr>
        <w:t xml:space="preserve"> Lejos de constituir un punto de cargo, acredita que el trabajador sufrió una crisis de ansiedad vinculada al propio proceso de despido, sin que la empresa se molestara en verificar las causas de la ausencia antes de incluirla en la carta.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Probabilidad de que prospere para la empresa</w:t>
            </w:r>
          </w:p>
        </w:tc>
        <w:tc>
          <w:tcPr>
            <w:shd w:fill="EBF4FF"/>
            <w:tcMar>
              <w:top w:type="dxa" w:w="80"/>
              <w:left w:type="dxa" w:w="100"/>
              <w:bottom w:type="dxa" w:w="80"/>
              <w:right w:type="dxa" w:w="100"/>
            </w:tcMar>
          </w:tcPr>
          <w:p>
            <w:r>
              <w:rPr>
                <w:b/>
                <w:bCs/>
                <w:color w:val="1A365D"/>
                <w:sz w:val="18"/>
                <w:szCs w:val="18"/>
              </w:rPr>
              <w:t xml:space="preserve">Muy baja: 5-10 %</w:t>
            </w:r>
          </w:p>
        </w:tc>
      </w:tr>
    </w:tbl>
    <w:p>
      <w:pPr>
        <w:spacing w:after="120"/>
      </w:pPr>
    </w:p>
    <w:p>
      <w:pPr>
        <w:pBdr>
          <w:bottom w:val="single" w:color="CBD5E0" w:sz="6" w:space="4"/>
        </w:pBdr>
        <w:spacing w:after="120" w:before="80"/>
      </w:pPr>
    </w:p>
    <w:p>
      <w:pPr>
        <w:pStyle w:val="Heading3"/>
        <w:spacing w:after="80" w:before="200"/>
      </w:pPr>
      <w:r>
        <w:rPr>
          <w:b/>
          <w:bCs/>
          <w:color w:val="2C5282"/>
          <w:sz w:val="22"/>
          <w:szCs w:val="22"/>
        </w:rPr>
        <w:t xml:space="preserve">MOTIVO 4: Concurrencia desleal — Perfil en Upwork (@aitormsdev)</w:t>
      </w:r>
    </w:p>
    <w:p>
      <w:pPr>
        <w:spacing w:after="120"/>
      </w:pPr>
      <w:r>
        <w:rPr>
          <w:b/>
          <w:bCs/>
          <w:color w:val="2D3748"/>
          <w:sz w:val="20"/>
          <w:szCs w:val="20"/>
        </w:rPr>
        <w:t xml:space="preserve">Calificación en la carta:</w:t>
      </w:r>
      <w:r>
        <w:rPr>
          <w:color w:val="2D3748"/>
          <w:sz w:val="20"/>
          <w:szCs w:val="20"/>
        </w:rPr>
        <w:t xml:space="preserve"> Transgresión de buena fe (art. 54.2 d) ET) y concurrencia desleal (arts. 21 y 54.2 d) ET).</w:t>
      </w:r>
    </w:p>
    <w:p>
      <w:pPr>
        <w:spacing w:after="120"/>
      </w:pPr>
      <w:r>
        <w:rPr>
          <w:b/>
          <w:bCs/>
          <w:color w:val="2D3748"/>
          <w:sz w:val="20"/>
          <w:szCs w:val="20"/>
        </w:rPr>
        <w:t xml:space="preserve">Imputación concreta:</w:t>
      </w:r>
      <w:r>
        <w:rPr>
          <w:color w:val="2D3748"/>
          <w:sz w:val="20"/>
          <w:szCs w:val="20"/>
        </w:rPr>
        <w:t xml:space="preserve"> La empresa afirma haber identificado un perfil profesional en Upwork (usuario @aitormsdev) con proyectos activos de desarrollo backend facturados a clientes alemanes y estadounidenses entre febrero y mayo de 2026, en tecnologías coincidentes (Node.js, TypeScript, Supabase), durante horarios que coinciden con la jornada laboral.</w:t>
      </w:r>
    </w:p>
    <w:p>
      <w:pPr>
        <w:spacing w:after="120"/>
      </w:pPr>
      <w:r>
        <w:rPr>
          <w:b/>
          <w:bCs/>
          <w:color w:val="2D3748"/>
          <w:sz w:val="20"/>
          <w:szCs w:val="20"/>
        </w:rPr>
        <w:t xml:space="preserve">Elementos de defensa:</w:t>
      </w:r>
    </w:p>
    <w:p>
      <w:pPr>
        <w:spacing w:after="120"/>
      </w:pPr>
      <w:r>
        <w:rPr>
          <w:color w:val="2D3748"/>
          <w:sz w:val="20"/>
          <w:szCs w:val="20"/>
        </w:rPr>
        <w:t xml:space="preserve">Este es el motivo con mayor potencial lesivo. Las líneas de ataque son las siguientes:</w:t>
      </w:r>
    </w:p>
    <w:p>
      <w:pPr>
        <w:spacing w:after="120"/>
      </w:pPr>
      <w:r>
        <w:rPr>
          <w:b/>
          <w:bCs/>
          <w:color w:val="2D3748"/>
          <w:sz w:val="20"/>
          <w:szCs w:val="20"/>
        </w:rPr>
        <w:t xml:space="preserve">a) Cadena de custodia y prueba de titularidad:</w:t>
      </w:r>
    </w:p>
    <w:p>
      <w:pPr>
        <w:pStyle w:val="ListParagraph"/>
        <w:numPr>
          <w:ilvl w:val="0"/>
          <w:numId w:val="1"/>
        </w:numPr>
        <w:spacing w:after="60"/>
      </w:pPr>
      <w:r>
        <w:rPr>
          <w:color w:val="2D3748"/>
          <w:sz w:val="20"/>
          <w:szCs w:val="20"/>
        </w:rPr>
        <w:t xml:space="preserve">¿Cómo obtuvo NEOVENTIS el perfil? ¿Hay acta notarial de contenido web o simple captura de pantalla? Una captura sin fe pública puede ser impugnada.</w:t>
      </w:r>
    </w:p>
    <w:p>
      <w:pPr>
        <w:pStyle w:val="ListParagraph"/>
        <w:numPr>
          <w:ilvl w:val="0"/>
          <w:numId w:val="1"/>
        </w:numPr>
        <w:spacing w:after="60"/>
      </w:pPr>
      <w:r>
        <w:rPr>
          <w:color w:val="2D3748"/>
          <w:sz w:val="20"/>
          <w:szCs w:val="20"/>
        </w:rPr>
        <w:t xml:space="preserve">¿Existe prueba fehaciente de que @aitormsdev es D. Aitor M. S. y no un perfil homónimo o coincidente?</w:t>
      </w:r>
    </w:p>
    <w:p>
      <w:pPr>
        <w:spacing w:after="120"/>
      </w:pPr>
      <w:r>
        <w:rPr>
          <w:b/>
          <w:bCs/>
          <w:color w:val="2D3748"/>
          <w:sz w:val="20"/>
          <w:szCs w:val="20"/>
        </w:rPr>
        <w:t xml:space="preserve">b) Coincidencia horaria real:</w:t>
      </w:r>
    </w:p>
    <w:p>
      <w:pPr>
        <w:pStyle w:val="ListParagraph"/>
        <w:numPr>
          <w:ilvl w:val="0"/>
          <w:numId w:val="1"/>
        </w:numPr>
        <w:spacing w:after="60"/>
      </w:pPr>
      <w:r>
        <w:rPr>
          <w:color w:val="2D3748"/>
          <w:sz w:val="20"/>
          <w:szCs w:val="20"/>
        </w:rPr>
        <w:t xml:space="preserve">Upwork registra las horas de actividad en </w:t>
      </w:r>
      <w:r>
        <w:rPr>
          <w:b/>
          <w:bCs/>
          <w:color w:val="2D3748"/>
          <w:sz w:val="20"/>
          <w:szCs w:val="20"/>
        </w:rPr>
        <w:t xml:space="preserve">UTC</w:t>
      </w:r>
      <w:r>
        <w:rPr>
          <w:color w:val="2D3748"/>
          <w:sz w:val="20"/>
          <w:szCs w:val="20"/>
        </w:rPr>
        <w:t xml:space="preserve">. Es necesario cruzar los logs de la plataforma con la jornada laboral efectiva del trabajador en huso horario CET/CEST para verificar si realmente hay solapamiento. Los clientes son alemanes (CET) y estadounidenses (EST/PST), lo que puede generar franjas horarias fuera de jornada.</w:t>
      </w:r>
    </w:p>
    <w:p>
      <w:pPr>
        <w:spacing w:after="120"/>
      </w:pPr>
      <w:r>
        <w:rPr>
          <w:b/>
          <w:bCs/>
          <w:color w:val="2D3748"/>
          <w:sz w:val="20"/>
          <w:szCs w:val="20"/>
        </w:rPr>
        <w:t xml:space="preserve">c) Existencia o inexistencia de pacto de exclusividad:</w:t>
      </w:r>
    </w:p>
    <w:p>
      <w:pPr>
        <w:pStyle w:val="ListParagraph"/>
        <w:numPr>
          <w:ilvl w:val="0"/>
          <w:numId w:val="1"/>
        </w:numPr>
        <w:spacing w:after="60"/>
      </w:pPr>
      <w:r>
        <w:rPr>
          <w:color w:val="2D3748"/>
          <w:sz w:val="20"/>
          <w:szCs w:val="20"/>
        </w:rPr>
        <w:t xml:space="preserve">El art. 21.1 ET establece que el pluriempleo es libre salvo pacto de plena dedicación expresamente compensado. Sin pacto de exclusividad retribuido, la concurrencia solo es sancionable si es </w:t>
      </w:r>
      <w:r>
        <w:rPr>
          <w:b/>
          <w:bCs/>
          <w:color w:val="2D3748"/>
          <w:sz w:val="20"/>
          <w:szCs w:val="20"/>
        </w:rPr>
        <w:t xml:space="preserve">efectivamente desleal</w:t>
      </w:r>
      <w:r>
        <w:rPr>
          <w:color w:val="2D3748"/>
          <w:sz w:val="20"/>
          <w:szCs w:val="20"/>
        </w:rPr>
        <w:t xml:space="preserve"> (misma actividad + perjuicio real al empleador).</w:t>
      </w:r>
    </w:p>
    <w:p>
      <w:pPr>
        <w:pStyle w:val="ListParagraph"/>
        <w:numPr>
          <w:ilvl w:val="0"/>
          <w:numId w:val="1"/>
        </w:numPr>
        <w:spacing w:after="60"/>
      </w:pPr>
      <w:r>
        <w:rPr>
          <w:color w:val="2D3748"/>
          <w:sz w:val="20"/>
          <w:szCs w:val="20"/>
        </w:rPr>
        <w:t xml:space="preserve">Es imprescindible revisar las cláusulas 8ª y 9ª del contrato de trabajo para determinar el alcance exacto de las obligaciones de exclusividad y no competencia pactadas.</w:t>
      </w:r>
    </w:p>
    <w:p>
      <w:pPr>
        <w:spacing w:after="120"/>
      </w:pPr>
      <w:r>
        <w:rPr>
          <w:b/>
          <w:bCs/>
          <w:color w:val="2D3748"/>
          <w:sz w:val="20"/>
          <w:szCs w:val="20"/>
        </w:rPr>
        <w:t xml:space="preserve">d) Perjuicio efectivo:</w:t>
      </w:r>
    </w:p>
    <w:p>
      <w:pPr>
        <w:pStyle w:val="ListParagraph"/>
        <w:numPr>
          <w:ilvl w:val="0"/>
          <w:numId w:val="1"/>
        </w:numPr>
        <w:spacing w:after="60"/>
      </w:pPr>
      <w:r>
        <w:rPr>
          <w:color w:val="2D3748"/>
          <w:sz w:val="20"/>
          <w:szCs w:val="20"/>
        </w:rPr>
        <w:t xml:space="preserve">La carta no cuantifica ni acredita perjuicio alguno derivado de la supuesta actividad externa. La mera coincidencia tecnológica no equivale a perjuicio.</w:t>
      </w:r>
    </w:p>
    <w:p>
      <w:pPr>
        <w:spacing w:after="120"/>
      </w:pPr>
      <w:r>
        <w:rPr>
          <w:b/>
          <w:bCs/>
          <w:color w:val="2D3748"/>
          <w:sz w:val="20"/>
          <w:szCs w:val="20"/>
        </w:rPr>
        <w:t xml:space="preserve">e) Proporcionalidad:</w:t>
      </w:r>
    </w:p>
    <w:p>
      <w:pPr>
        <w:pStyle w:val="ListParagraph"/>
        <w:numPr>
          <w:ilvl w:val="0"/>
          <w:numId w:val="1"/>
        </w:numPr>
        <w:spacing w:after="60"/>
      </w:pPr>
      <w:r>
        <w:rPr>
          <w:color w:val="2D3748"/>
          <w:sz w:val="20"/>
          <w:szCs w:val="20"/>
        </w:rPr>
        <w:t xml:space="preserve">Aun acreditada actividad externa marginal, en un contexto de 7 años y 8 meses sin incidencia alguna y con rendimiento evaluado como satisfactorio, el despido podría considerarse desproporcionado si la actividad era cuantitativamente menor y no causó perjuicio acreditable.</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de 8 de marzo de 1991 (RJ 1991/1840):</w:t>
      </w:r>
      <w:r>
        <w:rPr>
          <w:color w:val="2D3748"/>
          <w:sz w:val="20"/>
          <w:szCs w:val="20"/>
        </w:rPr>
        <w:t xml:space="preserve"> Para que la concurrencia del art. 21 ET justifique el despido disciplinario, no basta la mera pluriactividad: se requiere que concurran los elementos de </w:t>
      </w:r>
      <w:r>
        <w:rPr>
          <w:i/>
          <w:iCs/>
          <w:color w:val="2D3748"/>
          <w:sz w:val="20"/>
          <w:szCs w:val="20"/>
        </w:rPr>
        <w:t xml:space="preserve">identidad de actividad, simultaneidad temporal efectiva con la jornada laboral y perjuicio real o potencial para los intereses del empresario</w:t>
      </w:r>
      <w:r>
        <w:rPr>
          <w:color w:val="2D3748"/>
          <w:sz w:val="20"/>
          <w:szCs w:val="20"/>
        </w:rPr>
        <w:t xml:space="preserve">.</w:t>
      </w:r>
    </w:p>
    <w:p>
      <w:pPr>
        <w:pStyle w:val="ListParagraph"/>
        <w:numPr>
          <w:ilvl w:val="0"/>
          <w:numId w:val="1"/>
        </w:numPr>
        <w:spacing w:after="60"/>
      </w:pPr>
      <w:r>
        <w:rPr>
          <w:b/>
          <w:bCs/>
          <w:color w:val="2D3748"/>
          <w:sz w:val="20"/>
          <w:szCs w:val="20"/>
        </w:rPr>
        <w:t xml:space="preserve">STS de 22 de octubre de 2012 (Rec. 3138/2011):</w:t>
      </w:r>
      <w:r>
        <w:rPr>
          <w:color w:val="2D3748"/>
          <w:sz w:val="20"/>
          <w:szCs w:val="20"/>
        </w:rPr>
        <w:t xml:space="preserve"> La concurrencia desleal exige un análisis casuístico de la entidad de la actividad paralela, la existencia de perjuicio y la buena o mala fe del trabajador. La mera existencia de un perfil en una plataforma de freelance, sin prueba de actividad efectiva en horario laboral, no integra por sí sola la causa de despido.</w:t>
      </w:r>
    </w:p>
    <w:p>
      <w:pPr>
        <w:pStyle w:val="ListParagraph"/>
        <w:numPr>
          <w:ilvl w:val="0"/>
          <w:numId w:val="1"/>
        </w:numPr>
        <w:spacing w:after="60"/>
      </w:pPr>
      <w:r>
        <w:rPr>
          <w:b/>
          <w:bCs/>
          <w:color w:val="2D3748"/>
          <w:sz w:val="20"/>
          <w:szCs w:val="20"/>
        </w:rPr>
        <w:t xml:space="preserve">STS de 15 de abril de 2014 (Rec. 1191/2013):</w:t>
      </w:r>
      <w:r>
        <w:rPr>
          <w:color w:val="2D3748"/>
          <w:sz w:val="20"/>
          <w:szCs w:val="20"/>
        </w:rPr>
        <w:t xml:space="preserve"> Corresponde a la empresa la carga de acreditar tanto la realidad de la prestación de servicios para terceros como su carácter desleal. La insuficiencia en cualquiera de ambos extremos determina la improcedencia.</w:t>
      </w:r>
    </w:p>
    <w:p>
      <w:pPr>
        <w:spacing w:after="120"/>
      </w:pPr>
      <w:r>
        <w:rPr>
          <w:b/>
          <w:bCs/>
          <w:color w:val="2D3748"/>
          <w:sz w:val="20"/>
          <w:szCs w:val="20"/>
        </w:rPr>
        <w:t xml:space="preserve">Valoración: es el motivo más comprometido, pero tiene flancos de ataque reales.</w:t>
      </w:r>
      <w:r>
        <w:rPr>
          <w:color w:val="2D3748"/>
          <w:sz w:val="20"/>
          <w:szCs w:val="20"/>
        </w:rPr>
        <w:t xml:space="preserve"> La defensa debe centrarse en cuestionar la cadena probatoria, la coincidencia horaria real y la ausencia de perjuicio acreditado. Si la empresa no aporta acta notarial de contenido web + logs horarios cruzados + prueba de perjuicio, la imputación es insuficiente.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Probabilidad de que prospere para la empresa</w:t>
            </w:r>
          </w:p>
        </w:tc>
        <w:tc>
          <w:tcPr>
            <w:shd w:fill="EBF4FF"/>
            <w:tcMar>
              <w:top w:type="dxa" w:w="80"/>
              <w:left w:type="dxa" w:w="100"/>
              <w:bottom w:type="dxa" w:w="80"/>
              <w:right w:type="dxa" w:w="100"/>
            </w:tcMar>
          </w:tcPr>
          <w:p>
            <w:r>
              <w:rPr>
                <w:b/>
                <w:bCs/>
                <w:color w:val="1A365D"/>
                <w:sz w:val="18"/>
                <w:szCs w:val="18"/>
              </w:rPr>
              <w:t xml:space="preserve">Media: 30-40 %</w:t>
            </w:r>
          </w:p>
        </w:tc>
      </w:tr>
    </w:tbl>
    <w:p>
      <w:pPr>
        <w:spacing w:after="120"/>
      </w:pPr>
    </w:p>
    <w:p>
      <w:pPr>
        <w:pBdr>
          <w:bottom w:val="single" w:color="CBD5E0" w:sz="6" w:space="4"/>
        </w:pBdr>
        <w:spacing w:after="120" w:before="80"/>
      </w:pPr>
    </w:p>
    <w:p>
      <w:pPr>
        <w:pStyle w:val="Heading3"/>
        <w:spacing w:after="80" w:before="200"/>
      </w:pPr>
      <w:r>
        <w:rPr>
          <w:b/>
          <w:bCs/>
          <w:color w:val="2C5282"/>
          <w:sz w:val="22"/>
          <w:szCs w:val="22"/>
        </w:rPr>
        <w:t xml:space="preserve">MOTIVO 5: Disminución continuada y voluntaria del rendimiento</w:t>
      </w:r>
    </w:p>
    <w:p>
      <w:pPr>
        <w:spacing w:after="120"/>
      </w:pPr>
      <w:r>
        <w:rPr>
          <w:b/>
          <w:bCs/>
          <w:color w:val="2D3748"/>
          <w:sz w:val="20"/>
          <w:szCs w:val="20"/>
        </w:rPr>
        <w:t xml:space="preserve">Calificación en la carta:</w:t>
      </w:r>
      <w:r>
        <w:rPr>
          <w:color w:val="2D3748"/>
          <w:sz w:val="20"/>
          <w:szCs w:val="20"/>
        </w:rPr>
        <w:t xml:space="preserve"> Art. 54.2 e) ET.</w:t>
      </w:r>
    </w:p>
    <w:p>
      <w:pPr>
        <w:spacing w:after="120"/>
      </w:pPr>
      <w:r>
        <w:rPr>
          <w:b/>
          <w:bCs/>
          <w:color w:val="2D3748"/>
          <w:sz w:val="20"/>
          <w:szCs w:val="20"/>
        </w:rPr>
        <w:t xml:space="preserve">Imputación concreta:</w:t>
      </w:r>
      <w:r>
        <w:rPr>
          <w:color w:val="2D3748"/>
          <w:sz w:val="20"/>
          <w:szCs w:val="20"/>
        </w:rPr>
        <w:t xml:space="preserve"> Se infiere de la carta que la empresa vincula esta imputación a los mismos hechos de los motivos 1 y 4: la supuesta inactividad en JIRA y la dedicación a actividades externas.</w:t>
      </w:r>
    </w:p>
    <w:p>
      <w:pPr>
        <w:spacing w:after="120"/>
      </w:pPr>
      <w:r>
        <w:rPr>
          <w:b/>
          <w:bCs/>
          <w:color w:val="2D3748"/>
          <w:sz w:val="20"/>
          <w:szCs w:val="20"/>
        </w:rPr>
        <w:t xml:space="preserve">Elementos de defensa:</w:t>
      </w:r>
    </w:p>
    <w:p>
      <w:pPr>
        <w:pStyle w:val="ListParagraph"/>
        <w:numPr>
          <w:ilvl w:val="0"/>
          <w:numId w:val="1"/>
        </w:numPr>
        <w:spacing w:after="60"/>
      </w:pPr>
      <w:r>
        <w:rPr>
          <w:color w:val="2D3748"/>
          <w:sz w:val="20"/>
          <w:szCs w:val="20"/>
        </w:rPr>
        <w:t xml:space="preserve">El trabajador acredita </w:t>
      </w:r>
      <w:r>
        <w:rPr>
          <w:b/>
          <w:bCs/>
          <w:color w:val="2D3748"/>
          <w:sz w:val="20"/>
          <w:szCs w:val="20"/>
        </w:rPr>
        <w:t xml:space="preserve">312 horas de trabajo imputadas en 3 meses</w:t>
      </w:r>
      <w:r>
        <w:rPr>
          <w:color w:val="2D3748"/>
          <w:sz w:val="20"/>
          <w:szCs w:val="20"/>
        </w:rPr>
        <w:t xml:space="preserve"> en el tablón JIRA NB-PLAT, con una media de 6-8 tickets semanales. Esto equivale a una carga de trabajo normal o superior a la media.</w:t>
      </w:r>
    </w:p>
    <w:p>
      <w:pPr>
        <w:pStyle w:val="ListParagraph"/>
        <w:numPr>
          <w:ilvl w:val="0"/>
          <w:numId w:val="1"/>
        </w:numPr>
        <w:spacing w:after="60"/>
      </w:pPr>
      <w:r>
        <w:rPr>
          <w:color w:val="2D3748"/>
          <w:sz w:val="20"/>
          <w:szCs w:val="20"/>
        </w:rPr>
        <w:t xml:space="preserve">Su última evaluación de desempeño (</w:t>
      </w:r>
      <w:r>
        <w:rPr>
          <w:b/>
          <w:bCs/>
          <w:color w:val="2D3748"/>
          <w:sz w:val="20"/>
          <w:szCs w:val="20"/>
        </w:rPr>
        <w:t xml:space="preserve">enero de 2026</w:t>
      </w:r>
      <w:r>
        <w:rPr>
          <w:color w:val="2D3748"/>
          <w:sz w:val="20"/>
          <w:szCs w:val="20"/>
        </w:rPr>
        <w:t xml:space="preserve">, dos meses antes del período imputado) fue </w:t>
      </w:r>
      <w:r>
        <w:rPr>
          <w:b/>
          <w:bCs/>
          <w:color w:val="2D3748"/>
          <w:sz w:val="20"/>
          <w:szCs w:val="20"/>
        </w:rPr>
        <w:t xml:space="preserve">"Meets expectations" con nota 3,8/5</w:t>
      </w:r>
      <w:r>
        <w:rPr>
          <w:color w:val="2D3748"/>
          <w:sz w:val="20"/>
          <w:szCs w:val="20"/>
        </w:rPr>
        <w:t xml:space="preserve">, idéntica a las dos evaluaciones anteriores.</w:t>
      </w:r>
    </w:p>
    <w:p>
      <w:pPr>
        <w:pStyle w:val="ListParagraph"/>
        <w:numPr>
          <w:ilvl w:val="0"/>
          <w:numId w:val="1"/>
        </w:numPr>
        <w:spacing w:after="60"/>
      </w:pPr>
      <w:r>
        <w:rPr>
          <w:color w:val="2D3748"/>
          <w:sz w:val="20"/>
          <w:szCs w:val="20"/>
        </w:rPr>
        <w:t xml:space="preserve">No existe comparativa de rendimiento con compañeros en el mismo proyecto, ni parámetro objetivo que acredite la disminución alegada.</w:t>
      </w:r>
    </w:p>
    <w:p>
      <w:pPr>
        <w:spacing w:after="120"/>
      </w:pPr>
      <w:r>
        <w:rPr>
          <w:b/>
          <w:bCs/>
          <w:color w:val="2D3748"/>
          <w:sz w:val="20"/>
          <w:szCs w:val="20"/>
        </w:rPr>
        <w:t xml:space="preserve">Jurisprudencia aplicable:</w:t>
      </w:r>
    </w:p>
    <w:p>
      <w:pPr>
        <w:pStyle w:val="ListParagraph"/>
        <w:numPr>
          <w:ilvl w:val="0"/>
          <w:numId w:val="1"/>
        </w:numPr>
        <w:spacing w:after="60"/>
      </w:pPr>
      <w:r>
        <w:rPr>
          <w:b/>
          <w:bCs/>
          <w:color w:val="2D3748"/>
          <w:sz w:val="20"/>
          <w:szCs w:val="20"/>
        </w:rPr>
        <w:t xml:space="preserve">STS de 25 de enero de 2005 (RCUD 5765/2003):</w:t>
      </w:r>
      <w:r>
        <w:rPr>
          <w:color w:val="2D3748"/>
          <w:sz w:val="20"/>
          <w:szCs w:val="20"/>
        </w:rPr>
        <w:t xml:space="preserve"> La disminución de rendimiento del art. 54.2 e) ET debe acreditarse mediante comparación con un rendimiento previo del mismo trabajador o con el rendimiento medio de trabajadores en puestos equivalentes. Sin elemento comparativo objetivo, la causa no puede prosperar.</w:t>
      </w:r>
    </w:p>
    <w:p>
      <w:pPr>
        <w:pStyle w:val="ListParagraph"/>
        <w:numPr>
          <w:ilvl w:val="0"/>
          <w:numId w:val="1"/>
        </w:numPr>
        <w:spacing w:after="60"/>
      </w:pPr>
      <w:r>
        <w:rPr>
          <w:b/>
          <w:bCs/>
          <w:color w:val="2D3748"/>
          <w:sz w:val="20"/>
          <w:szCs w:val="20"/>
        </w:rPr>
        <w:t xml:space="preserve">STS de 19 de enero de 2010 (Rec. 1468/2009):</w:t>
      </w:r>
      <w:r>
        <w:rPr>
          <w:color w:val="2D3748"/>
          <w:sz w:val="20"/>
          <w:szCs w:val="20"/>
        </w:rPr>
        <w:t xml:space="preserve"> La disminución de rendimiento debe ser </w:t>
      </w:r>
      <w:r>
        <w:rPr>
          <w:i/>
          <w:iCs/>
          <w:color w:val="2D3748"/>
          <w:sz w:val="20"/>
          <w:szCs w:val="20"/>
        </w:rPr>
        <w:t xml:space="preserve">continuada y voluntaria</w:t>
      </w:r>
      <w:r>
        <w:rPr>
          <w:color w:val="2D3748"/>
          <w:sz w:val="20"/>
          <w:szCs w:val="20"/>
        </w:rPr>
        <w:t xml:space="preserve">. No basta una apreciación genérica de la empresa; se exige cuantificación objetiva del descenso y prueba de la voluntariedad (no derivada de causas organizativas ajenas al trabajador).</w:t>
      </w:r>
    </w:p>
    <w:p>
      <w:pPr>
        <w:spacing w:after="120"/>
      </w:pPr>
      <w:r>
        <w:rPr>
          <w:b/>
          <w:bCs/>
          <w:color w:val="2D3748"/>
          <w:sz w:val="20"/>
          <w:szCs w:val="20"/>
        </w:rPr>
        <w:t xml:space="preserve">Valoración: la imputación carece de base.</w:t>
      </w:r>
      <w:r>
        <w:rPr>
          <w:color w:val="2D3748"/>
          <w:sz w:val="20"/>
          <w:szCs w:val="20"/>
        </w:rPr>
        <w:t xml:space="preserve"> La empresa no aporta métricas comparativas, el trabajador tiene evaluaciones satisfactorias recientes y su actividad real (medida en el tablón correcto) era normal. Es el motivo más débil de los cinco.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Probabilidad de que prospere para la empresa</w:t>
            </w:r>
          </w:p>
        </w:tc>
        <w:tc>
          <w:tcPr>
            <w:shd w:fill="EBF4FF"/>
            <w:tcMar>
              <w:top w:type="dxa" w:w="80"/>
              <w:left w:type="dxa" w:w="100"/>
              <w:bottom w:type="dxa" w:w="80"/>
              <w:right w:type="dxa" w:w="100"/>
            </w:tcMar>
          </w:tcPr>
          <w:p>
            <w:r>
              <w:rPr>
                <w:b/>
                <w:bCs/>
                <w:color w:val="1A365D"/>
                <w:sz w:val="18"/>
                <w:szCs w:val="18"/>
              </w:rPr>
              <w:t xml:space="preserve">Muy baja: 5-10 %</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3. PROBABILIDAD GLOBAL DE IMPROCEDENCIA</w:t>
      </w:r>
    </w:p>
    <w:p>
      <w:pPr>
        <w:pStyle w:val="Heading3"/>
        <w:spacing w:after="80" w:before="200"/>
      </w:pPr>
      <w:r>
        <w:rPr>
          <w:b/>
          <w:bCs/>
          <w:color w:val="2C5282"/>
          <w:sz w:val="22"/>
          <w:szCs w:val="22"/>
        </w:rPr>
        <w:t xml:space="preserve">Cuadro resumen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Motivo</w:t>
            </w:r>
          </w:p>
        </w:tc>
        <w:tc>
          <w:tcPr>
            <w:shd w:fill="EBF4FF"/>
            <w:tcMar>
              <w:top w:type="dxa" w:w="80"/>
              <w:left w:type="dxa" w:w="100"/>
              <w:bottom w:type="dxa" w:w="80"/>
              <w:right w:type="dxa" w:w="100"/>
            </w:tcMar>
          </w:tcPr>
          <w:p>
            <w:r>
              <w:rPr>
                <w:b/>
                <w:bCs/>
                <w:color w:val="1A365D"/>
                <w:sz w:val="18"/>
                <w:szCs w:val="18"/>
              </w:rPr>
              <w:t xml:space="preserve">Solidez empresa</w:t>
            </w:r>
          </w:p>
        </w:tc>
        <w:tc>
          <w:tcPr>
            <w:shd w:fill="EBF4FF"/>
            <w:tcMar>
              <w:top w:type="dxa" w:w="80"/>
              <w:left w:type="dxa" w:w="100"/>
              <w:bottom w:type="dxa" w:w="80"/>
              <w:right w:type="dxa" w:w="100"/>
            </w:tcMar>
          </w:tcPr>
          <w:p>
            <w:r>
              <w:rPr>
                <w:b/>
                <w:bCs/>
                <w:color w:val="1A365D"/>
                <w:sz w:val="18"/>
                <w:szCs w:val="18"/>
              </w:rPr>
              <w:t xml:space="preserve">Solidez defensa</w:t>
            </w:r>
          </w:p>
        </w:tc>
        <w:tc>
          <w:tcPr>
            <w:shd w:fill="EBF4FF"/>
            <w:tcMar>
              <w:top w:type="dxa" w:w="80"/>
              <w:left w:type="dxa" w:w="100"/>
              <w:bottom w:type="dxa" w:w="80"/>
              <w:right w:type="dxa" w:w="100"/>
            </w:tcMar>
          </w:tcPr>
          <w:p>
            <w:r>
              <w:rPr>
                <w:b/>
                <w:bCs/>
                <w:color w:val="1A365D"/>
                <w:sz w:val="18"/>
                <w:szCs w:val="18"/>
              </w:rPr>
              <w:t xml:space="preserve">Riesgo</w:t>
            </w:r>
          </w:p>
        </w:tc>
      </w:tr>
      <w:tr>
        <w:trPr>
          <w:tblHeader w:val="false"/>
        </w:trPr>
        <w:tc>
          <w:tcPr>
            <w:tcMar>
              <w:top w:type="dxa" w:w="80"/>
              <w:left w:type="dxa" w:w="100"/>
              <w:bottom w:type="dxa" w:w="80"/>
              <w:right w:type="dxa" w:w="100"/>
            </w:tcMar>
          </w:tcPr>
          <w:p>
            <w:r>
              <w:rPr>
                <w:b w:val="false"/>
                <w:bCs w:val="false"/>
                <w:color w:val="2D3748"/>
                <w:sz w:val="18"/>
                <w:szCs w:val="18"/>
              </w:rPr>
              <w:t xml:space="preserve">1. Inactividad JIRA (16 jornadas)</w:t>
            </w:r>
          </w:p>
        </w:tc>
        <w:tc>
          <w:tcPr>
            <w:tcMar>
              <w:top w:type="dxa" w:w="80"/>
              <w:left w:type="dxa" w:w="100"/>
              <w:bottom w:type="dxa" w:w="80"/>
              <w:right w:type="dxa" w:w="100"/>
            </w:tcMar>
          </w:tcPr>
          <w:p>
            <w:r>
              <w:rPr>
                <w:b w:val="false"/>
                <w:bCs w:val="false"/>
                <w:color w:val="2D3748"/>
                <w:sz w:val="18"/>
                <w:szCs w:val="18"/>
              </w:rPr>
              <w:t xml:space="preserve">Muy baja</w:t>
            </w:r>
          </w:p>
        </w:tc>
        <w:tc>
          <w:tcPr>
            <w:tcMar>
              <w:top w:type="dxa" w:w="80"/>
              <w:left w:type="dxa" w:w="100"/>
              <w:bottom w:type="dxa" w:w="80"/>
              <w:right w:type="dxa" w:w="100"/>
            </w:tcMar>
          </w:tcPr>
          <w:p>
            <w:r>
              <w:rPr>
                <w:b w:val="false"/>
                <w:bCs w:val="false"/>
                <w:color w:val="2D3748"/>
                <w:sz w:val="18"/>
                <w:szCs w:val="18"/>
              </w:rPr>
              <w:t xml:space="preserve">Muy alta</w:t>
            </w:r>
          </w:p>
        </w:tc>
        <w:tc>
          <w:tcPr>
            <w:tcMar>
              <w:top w:type="dxa" w:w="80"/>
              <w:left w:type="dxa" w:w="100"/>
              <w:bottom w:type="dxa" w:w="80"/>
              <w:right w:type="dxa" w:w="100"/>
            </w:tcMar>
          </w:tcPr>
          <w:p>
            <w:r>
              <w:rPr>
                <w:b w:val="false"/>
                <w:bCs w:val="false"/>
                <w:color w:val="2D3748"/>
                <w:sz w:val="18"/>
                <w:szCs w:val="18"/>
              </w:rPr>
              <w:t xml:space="preserve">🟢 Mínimo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2. Incomunicación Slack</w:t>
            </w:r>
          </w:p>
        </w:tc>
        <w:tc>
          <w:tcPr>
            <w:shd w:fill="F7FAFC"/>
            <w:tcMar>
              <w:top w:type="dxa" w:w="80"/>
              <w:left w:type="dxa" w:w="100"/>
              <w:bottom w:type="dxa" w:w="80"/>
              <w:right w:type="dxa" w:w="100"/>
            </w:tcMar>
          </w:tcPr>
          <w:p>
            <w:r>
              <w:rPr>
                <w:b w:val="false"/>
                <w:bCs w:val="false"/>
                <w:color w:val="2D3748"/>
                <w:sz w:val="18"/>
                <w:szCs w:val="18"/>
              </w:rPr>
              <w:t xml:space="preserve">Muy baja</w:t>
            </w:r>
          </w:p>
        </w:tc>
        <w:tc>
          <w:tcPr>
            <w:shd w:fill="F7FAFC"/>
            <w:tcMar>
              <w:top w:type="dxa" w:w="80"/>
              <w:left w:type="dxa" w:w="100"/>
              <w:bottom w:type="dxa" w:w="80"/>
              <w:right w:type="dxa" w:w="100"/>
            </w:tcMar>
          </w:tcPr>
          <w:p>
            <w:r>
              <w:rPr>
                <w:b w:val="false"/>
                <w:bCs w:val="false"/>
                <w:color w:val="2D3748"/>
                <w:sz w:val="18"/>
                <w:szCs w:val="18"/>
              </w:rPr>
              <w:t xml:space="preserve">Muy alta</w:t>
            </w:r>
          </w:p>
        </w:tc>
        <w:tc>
          <w:tcPr>
            <w:shd w:fill="F7FAFC"/>
            <w:tcMar>
              <w:top w:type="dxa" w:w="80"/>
              <w:left w:type="dxa" w:w="100"/>
              <w:bottom w:type="dxa" w:w="80"/>
              <w:right w:type="dxa" w:w="100"/>
            </w:tcMar>
          </w:tcPr>
          <w:p>
            <w:r>
              <w:rPr>
                <w:b w:val="false"/>
                <w:bCs w:val="false"/>
                <w:color w:val="2D3748"/>
                <w:sz w:val="18"/>
                <w:szCs w:val="18"/>
              </w:rPr>
              <w:t xml:space="preserve">🟢 Mínimo</w:t>
            </w:r>
          </w:p>
        </w:tc>
      </w:tr>
      <w:tr>
        <w:trPr>
          <w:tblHeader w:val="false"/>
        </w:trPr>
        <w:tc>
          <w:tcPr>
            <w:tcMar>
              <w:top w:type="dxa" w:w="80"/>
              <w:left w:type="dxa" w:w="100"/>
              <w:bottom w:type="dxa" w:w="80"/>
              <w:right w:type="dxa" w:w="100"/>
            </w:tcMar>
          </w:tcPr>
          <w:p>
            <w:r>
              <w:rPr>
                <w:b w:val="false"/>
                <w:bCs w:val="false"/>
                <w:color w:val="2D3748"/>
                <w:sz w:val="18"/>
                <w:szCs w:val="18"/>
              </w:rPr>
              <w:t xml:space="preserve">3. Ausencia 22/04/2026</w:t>
            </w:r>
          </w:p>
        </w:tc>
        <w:tc>
          <w:tcPr>
            <w:tcMar>
              <w:top w:type="dxa" w:w="80"/>
              <w:left w:type="dxa" w:w="100"/>
              <w:bottom w:type="dxa" w:w="80"/>
              <w:right w:type="dxa" w:w="100"/>
            </w:tcMar>
          </w:tcPr>
          <w:p>
            <w:r>
              <w:rPr>
                <w:b w:val="false"/>
                <w:bCs w:val="false"/>
                <w:color w:val="2D3748"/>
                <w:sz w:val="18"/>
                <w:szCs w:val="18"/>
              </w:rPr>
              <w:t xml:space="preserve">Muy baja</w:t>
            </w:r>
          </w:p>
        </w:tc>
        <w:tc>
          <w:tcPr>
            <w:tcMar>
              <w:top w:type="dxa" w:w="80"/>
              <w:left w:type="dxa" w:w="100"/>
              <w:bottom w:type="dxa" w:w="80"/>
              <w:right w:type="dxa" w:w="100"/>
            </w:tcMar>
          </w:tcPr>
          <w:p>
            <w:r>
              <w:rPr>
                <w:b w:val="false"/>
                <w:bCs w:val="false"/>
                <w:color w:val="2D3748"/>
                <w:sz w:val="18"/>
                <w:szCs w:val="18"/>
              </w:rPr>
              <w:t xml:space="preserve">Muy alta (parte médico)</w:t>
            </w:r>
          </w:p>
        </w:tc>
        <w:tc>
          <w:tcPr>
            <w:tcMar>
              <w:top w:type="dxa" w:w="80"/>
              <w:left w:type="dxa" w:w="100"/>
              <w:bottom w:type="dxa" w:w="80"/>
              <w:right w:type="dxa" w:w="100"/>
            </w:tcMar>
          </w:tcPr>
          <w:p>
            <w:r>
              <w:rPr>
                <w:b w:val="false"/>
                <w:bCs w:val="false"/>
                <w:color w:val="2D3748"/>
                <w:sz w:val="18"/>
                <w:szCs w:val="18"/>
              </w:rPr>
              <w:t xml:space="preserve">🟢 Mínimo — favorable</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4. Concurrencia desleal Upwork</w:t>
            </w:r>
          </w:p>
        </w:tc>
        <w:tc>
          <w:tcPr>
            <w:shd w:fill="F7FAFC"/>
            <w:tcMar>
              <w:top w:type="dxa" w:w="80"/>
              <w:left w:type="dxa" w:w="100"/>
              <w:bottom w:type="dxa" w:w="80"/>
              <w:right w:type="dxa" w:w="100"/>
            </w:tcMar>
          </w:tcPr>
          <w:p>
            <w:r>
              <w:rPr>
                <w:b w:val="false"/>
                <w:bCs w:val="false"/>
                <w:color w:val="2D3748"/>
                <w:sz w:val="18"/>
                <w:szCs w:val="18"/>
              </w:rPr>
              <w:t xml:space="preserve">Media</w:t>
            </w:r>
          </w:p>
        </w:tc>
        <w:tc>
          <w:tcPr>
            <w:shd w:fill="F7FAFC"/>
            <w:tcMar>
              <w:top w:type="dxa" w:w="80"/>
              <w:left w:type="dxa" w:w="100"/>
              <w:bottom w:type="dxa" w:w="80"/>
              <w:right w:type="dxa" w:w="100"/>
            </w:tcMar>
          </w:tcPr>
          <w:p>
            <w:r>
              <w:rPr>
                <w:b w:val="false"/>
                <w:bCs w:val="false"/>
                <w:color w:val="2D3748"/>
                <w:sz w:val="18"/>
                <w:szCs w:val="18"/>
              </w:rPr>
              <w:t xml:space="preserve">Media-alta</w:t>
            </w:r>
          </w:p>
        </w:tc>
        <w:tc>
          <w:tcPr>
            <w:shd w:fill="F7FAFC"/>
            <w:tcMar>
              <w:top w:type="dxa" w:w="80"/>
              <w:left w:type="dxa" w:w="100"/>
              <w:bottom w:type="dxa" w:w="80"/>
              <w:right w:type="dxa" w:w="100"/>
            </w:tcMar>
          </w:tcPr>
          <w:p>
            <w:r>
              <w:rPr>
                <w:b w:val="false"/>
                <w:bCs w:val="false"/>
                <w:color w:val="2D3748"/>
                <w:sz w:val="18"/>
                <w:szCs w:val="18"/>
              </w:rPr>
              <w:t xml:space="preserve">🟡 Moderado</w:t>
            </w:r>
          </w:p>
        </w:tc>
      </w:tr>
      <w:tr>
        <w:trPr>
          <w:tblHeader w:val="false"/>
        </w:trPr>
        <w:tc>
          <w:tcPr>
            <w:tcMar>
              <w:top w:type="dxa" w:w="80"/>
              <w:left w:type="dxa" w:w="100"/>
              <w:bottom w:type="dxa" w:w="80"/>
              <w:right w:type="dxa" w:w="100"/>
            </w:tcMar>
          </w:tcPr>
          <w:p>
            <w:r>
              <w:rPr>
                <w:b w:val="false"/>
                <w:bCs w:val="false"/>
                <w:color w:val="2D3748"/>
                <w:sz w:val="18"/>
                <w:szCs w:val="18"/>
              </w:rPr>
              <w:t xml:space="preserve">5. Disminución rendimiento</w:t>
            </w:r>
          </w:p>
        </w:tc>
        <w:tc>
          <w:tcPr>
            <w:tcMar>
              <w:top w:type="dxa" w:w="80"/>
              <w:left w:type="dxa" w:w="100"/>
              <w:bottom w:type="dxa" w:w="80"/>
              <w:right w:type="dxa" w:w="100"/>
            </w:tcMar>
          </w:tcPr>
          <w:p>
            <w:r>
              <w:rPr>
                <w:b w:val="false"/>
                <w:bCs w:val="false"/>
                <w:color w:val="2D3748"/>
                <w:sz w:val="18"/>
                <w:szCs w:val="18"/>
              </w:rPr>
              <w:t xml:space="preserve">Muy baja</w:t>
            </w:r>
          </w:p>
        </w:tc>
        <w:tc>
          <w:tcPr>
            <w:tcMar>
              <w:top w:type="dxa" w:w="80"/>
              <w:left w:type="dxa" w:w="100"/>
              <w:bottom w:type="dxa" w:w="80"/>
              <w:right w:type="dxa" w:w="100"/>
            </w:tcMar>
          </w:tcPr>
          <w:p>
            <w:r>
              <w:rPr>
                <w:b w:val="false"/>
                <w:bCs w:val="false"/>
                <w:color w:val="2D3748"/>
                <w:sz w:val="18"/>
                <w:szCs w:val="18"/>
              </w:rPr>
              <w:t xml:space="preserve">Muy alta</w:t>
            </w:r>
          </w:p>
        </w:tc>
        <w:tc>
          <w:tcPr>
            <w:tcMar>
              <w:top w:type="dxa" w:w="80"/>
              <w:left w:type="dxa" w:w="100"/>
              <w:bottom w:type="dxa" w:w="80"/>
              <w:right w:type="dxa" w:w="100"/>
            </w:tcMar>
          </w:tcPr>
          <w:p>
            <w:r>
              <w:rPr>
                <w:b w:val="false"/>
                <w:bCs w:val="false"/>
                <w:color w:val="2D3748"/>
                <w:sz w:val="18"/>
                <w:szCs w:val="18"/>
              </w:rPr>
              <w:t xml:space="preserve">🟢 Mínimo</w:t>
            </w:r>
          </w:p>
        </w:tc>
      </w:tr>
    </w:tbl>
    <w:p>
      <w:pPr>
        <w:spacing w:after="120"/>
      </w:pPr>
    </w:p>
    <w:p>
      <w:pPr>
        <w:pStyle w:val="Heading3"/>
        <w:spacing w:after="80" w:before="200"/>
      </w:pPr>
      <w:r>
        <w:rPr>
          <w:b/>
          <w:bCs/>
          <w:color w:val="2C5282"/>
          <w:sz w:val="22"/>
          <w:szCs w:val="22"/>
        </w:rPr>
        <w:t xml:space="preserve">Valoración global</w:t>
      </w:r>
    </w:p>
    <w:p>
      <w:pPr>
        <w:spacing w:after="120"/>
      </w:pPr>
      <w:r>
        <w:rPr>
          <w:b/>
          <w:bCs/>
          <w:color w:val="2D3748"/>
          <w:sz w:val="20"/>
          <w:szCs w:val="20"/>
        </w:rPr>
        <w:t xml:space="preserve">Probabilidad de improcedencia: 80-85 %</w:t>
      </w:r>
    </w:p>
    <w:p>
      <w:pPr>
        <w:spacing w:after="120"/>
      </w:pPr>
      <w:r>
        <w:rPr>
          <w:color w:val="2D3748"/>
          <w:sz w:val="20"/>
          <w:szCs w:val="20"/>
        </w:rPr>
        <w:t xml:space="preserve">Los motivos 1, 2, 3 y 5 son desmontables con la prueba documental disponible. El motivo 4 (Upwork) es el único que presenta riesgo real, pero depende enteramente de la calidad de la prueba que aporte la empresa. Si NEOVENTIS no presenta acta notarial de contenido web con logs horarios cruzados y prueba de perjuicio efectivo, la probabilidad sube al </w:t>
      </w:r>
      <w:r>
        <w:rPr>
          <w:b/>
          <w:bCs/>
          <w:color w:val="2D3748"/>
          <w:sz w:val="20"/>
          <w:szCs w:val="20"/>
        </w:rPr>
        <w:t xml:space="preserve">90 %</w:t>
      </w:r>
      <w:r>
        <w:rPr>
          <w:color w:val="2D3748"/>
          <w:sz w:val="20"/>
          <w:szCs w:val="20"/>
        </w:rPr>
        <w:t xml:space="preserve">.</w:t>
      </w:r>
    </w:p>
    <w:p>
      <w:pPr>
        <w:pBdr>
          <w:left w:val="single" w:color="2C5282" w:sz="18" w:space="8"/>
        </w:pBdr>
        <w:spacing w:after="160" w:before="80"/>
        <w:ind w:left="360"/>
      </w:pPr>
      <w:r>
        <w:rPr>
          <w:b/>
          <w:bCs/>
          <w:i/>
          <w:iCs/>
          <w:color w:val="4A5568"/>
          <w:sz w:val="20"/>
          <w:szCs w:val="20"/>
        </w:rPr>
        <w:t xml:space="preserve">Nota:</w:t>
      </w:r>
      <w:r>
        <w:rPr>
          <w:i/>
          <w:iCs/>
          <w:color w:val="4A5568"/>
          <w:sz w:val="20"/>
          <w:szCs w:val="20"/>
        </w:rPr>
        <w:t xml:space="preserve"> La probabilidad de procedencia (que Aitor pierda y no cobre indemnización) se sitúa en el </w:t>
      </w:r>
      <w:r>
        <w:rPr>
          <w:b/>
          <w:bCs/>
          <w:i/>
          <w:iCs/>
          <w:color w:val="4A5568"/>
          <w:sz w:val="20"/>
          <w:szCs w:val="20"/>
        </w:rPr>
        <w:t xml:space="preserve">10-20 %</w:t>
      </w:r>
      <w:r>
        <w:rPr>
          <w:i/>
          <w:iCs/>
          <w:color w:val="4A5568"/>
          <w:sz w:val="20"/>
          <w:szCs w:val="20"/>
        </w:rPr>
        <w:t xml:space="preserve">, concentrada casi exclusivamente en el escenario de que la empresa aporte prueba contundente sobre Upwork. Este riesgo debe ser comunicado al cliente.</w:t>
      </w:r>
    </w:p>
    <w:p>
      <w:pPr>
        <w:pStyle w:val="Heading3"/>
        <w:spacing w:after="80" w:before="200"/>
      </w:pPr>
      <w:r>
        <w:rPr>
          <w:b/>
          <w:bCs/>
          <w:color w:val="2C5282"/>
          <w:sz w:val="22"/>
          <w:szCs w:val="22"/>
        </w:rPr>
        <w:t xml:space="preserve">Factor contextual reforzante</w:t>
      </w:r>
    </w:p>
    <w:p>
      <w:pPr>
        <w:spacing w:after="120"/>
      </w:pPr>
      <w:r>
        <w:rPr>
          <w:color w:val="2D3748"/>
          <w:sz w:val="20"/>
          <w:szCs w:val="20"/>
        </w:rPr>
        <w:t xml:space="preserve">El contexto de </w:t>
      </w:r>
      <w:r>
        <w:rPr>
          <w:b/>
          <w:bCs/>
          <w:color w:val="2D3748"/>
          <w:sz w:val="20"/>
          <w:szCs w:val="20"/>
        </w:rPr>
        <w:t xml:space="preserve">reestructuración encubierta</w:t>
      </w:r>
      <w:r>
        <w:rPr>
          <w:color w:val="2D3748"/>
          <w:sz w:val="20"/>
          <w:szCs w:val="20"/>
        </w:rPr>
        <w:t xml:space="preserve"> (5 compañeros sénior despedidos o apartados desde noviembre de 2025, declaraciones del CEO sobre "optimizar plantilla") refuerza la tesis de que el despido disciplinario es un instrumento para evitar la indemnización por despido objetivo. Aunque no se pretende la nulidad, este contexto puede ser invocado como indicio de causa instrumental ante el magistrado, fortaleciendo la declaración de improcedencia.</w:t>
      </w:r>
    </w:p>
    <w:p>
      <w:pPr>
        <w:pBdr>
          <w:bottom w:val="single" w:color="CBD5E0" w:sz="6" w:space="4"/>
        </w:pBdr>
        <w:spacing w:after="120" w:before="80"/>
      </w:pPr>
    </w:p>
    <w:p>
      <w:pPr>
        <w:pStyle w:val="Heading2"/>
        <w:spacing w:after="80" w:before="200"/>
      </w:pPr>
      <w:r>
        <w:rPr>
          <w:b/>
          <w:bCs/>
          <w:color w:val="1A365D"/>
          <w:sz w:val="26"/>
          <w:szCs w:val="26"/>
        </w:rPr>
        <w:t xml:space="preserve">4. CÓMPUTO DE LA INDEMNIZACIÓN</w:t>
      </w:r>
    </w:p>
    <w:p>
      <w:pPr>
        <w:pStyle w:val="Heading3"/>
        <w:spacing w:after="80" w:before="200"/>
      </w:pPr>
      <w:r>
        <w:rPr>
          <w:b/>
          <w:bCs/>
          <w:color w:val="2C5282"/>
          <w:sz w:val="22"/>
          <w:szCs w:val="22"/>
        </w:rPr>
        <w:t xml:space="preserve">4.1 Datos base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Valor</w:t>
            </w:r>
          </w:p>
        </w:tc>
      </w:tr>
      <w:tr>
        <w:trPr>
          <w:tblHeader w:val="false"/>
        </w:trPr>
        <w:tc>
          <w:tcPr>
            <w:tcMar>
              <w:top w:type="dxa" w:w="80"/>
              <w:left w:type="dxa" w:w="100"/>
              <w:bottom w:type="dxa" w:w="80"/>
              <w:right w:type="dxa" w:w="100"/>
            </w:tcMar>
          </w:tcPr>
          <w:p>
            <w:r>
              <w:rPr>
                <w:b w:val="false"/>
                <w:bCs w:val="false"/>
                <w:color w:val="2D3748"/>
                <w:sz w:val="18"/>
                <w:szCs w:val="18"/>
              </w:rPr>
              <w:t xml:space="preserve">Fecha de alta</w:t>
            </w:r>
          </w:p>
        </w:tc>
        <w:tc>
          <w:tcPr>
            <w:tcMar>
              <w:top w:type="dxa" w:w="80"/>
              <w:left w:type="dxa" w:w="100"/>
              <w:bottom w:type="dxa" w:w="80"/>
              <w:right w:type="dxa" w:w="100"/>
            </w:tcMar>
          </w:tcPr>
          <w:p>
            <w:r>
              <w:rPr>
                <w:b w:val="false"/>
                <w:bCs w:val="false"/>
                <w:color w:val="2D3748"/>
                <w:sz w:val="18"/>
                <w:szCs w:val="18"/>
              </w:rPr>
              <w:t xml:space="preserve">03/09/2018</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Fecha de despido</w:t>
            </w:r>
          </w:p>
        </w:tc>
        <w:tc>
          <w:tcPr>
            <w:shd w:fill="F7FAFC"/>
            <w:tcMar>
              <w:top w:type="dxa" w:w="80"/>
              <w:left w:type="dxa" w:w="100"/>
              <w:bottom w:type="dxa" w:w="80"/>
              <w:right w:type="dxa" w:w="100"/>
            </w:tcMar>
          </w:tcPr>
          <w:p>
            <w:r>
              <w:rPr>
                <w:b w:val="false"/>
                <w:bCs w:val="false"/>
                <w:color w:val="2D3748"/>
                <w:sz w:val="18"/>
                <w:szCs w:val="18"/>
              </w:rPr>
              <w:t xml:space="preserve">14/05/2026</w:t>
            </w:r>
          </w:p>
        </w:tc>
      </w:tr>
      <w:tr>
        <w:trPr>
          <w:tblHeader w:val="false"/>
        </w:trPr>
        <w:tc>
          <w:tcPr>
            <w:tcMar>
              <w:top w:type="dxa" w:w="80"/>
              <w:left w:type="dxa" w:w="100"/>
              <w:bottom w:type="dxa" w:w="80"/>
              <w:right w:type="dxa" w:w="100"/>
            </w:tcMar>
          </w:tcPr>
          <w:p>
            <w:r>
              <w:rPr>
                <w:b w:val="false"/>
                <w:bCs w:val="false"/>
                <w:color w:val="2D3748"/>
                <w:sz w:val="18"/>
                <w:szCs w:val="18"/>
              </w:rPr>
              <w:t xml:space="preserve">Antigüedad total</w:t>
            </w:r>
          </w:p>
        </w:tc>
        <w:tc>
          <w:tcPr>
            <w:tcMar>
              <w:top w:type="dxa" w:w="80"/>
              <w:left w:type="dxa" w:w="100"/>
              <w:bottom w:type="dxa" w:w="80"/>
              <w:right w:type="dxa" w:w="100"/>
            </w:tcMar>
          </w:tcPr>
          <w:p>
            <w:r>
              <w:rPr>
                <w:b w:val="false"/>
                <w:bCs w:val="false"/>
                <w:color w:val="2D3748"/>
                <w:sz w:val="18"/>
                <w:szCs w:val="18"/>
              </w:rPr>
              <w:t xml:space="preserve">7 años, 8 meses y 11 días</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Salario bruto anual</w:t>
            </w:r>
          </w:p>
        </w:tc>
        <w:tc>
          <w:tcPr>
            <w:shd w:fill="F7FAFC"/>
            <w:tcMar>
              <w:top w:type="dxa" w:w="80"/>
              <w:left w:type="dxa" w:w="100"/>
              <w:bottom w:type="dxa" w:w="80"/>
              <w:right w:type="dxa" w:w="100"/>
            </w:tcMar>
          </w:tcPr>
          <w:p>
            <w:r>
              <w:rPr>
                <w:b w:val="false"/>
                <w:bCs w:val="false"/>
                <w:color w:val="2D3748"/>
                <w:sz w:val="18"/>
                <w:szCs w:val="18"/>
              </w:rPr>
              <w:t xml:space="preserve">47.812,00 €</w:t>
            </w:r>
          </w:p>
        </w:tc>
      </w:tr>
      <w:tr>
        <w:trPr>
          <w:tblHeader w:val="false"/>
        </w:trPr>
        <w:tc>
          <w:tcPr>
            <w:tcMar>
              <w:top w:type="dxa" w:w="80"/>
              <w:left w:type="dxa" w:w="100"/>
              <w:bottom w:type="dxa" w:w="80"/>
              <w:right w:type="dxa" w:w="100"/>
            </w:tcMar>
          </w:tcPr>
          <w:p>
            <w:r>
              <w:rPr>
                <w:b w:val="false"/>
                <w:bCs w:val="false"/>
                <w:color w:val="2D3748"/>
                <w:sz w:val="18"/>
                <w:szCs w:val="18"/>
              </w:rPr>
              <w:t xml:space="preserve">Salario diario (base cálculo: 47.812 / 365)</w:t>
            </w:r>
          </w:p>
        </w:tc>
        <w:tc>
          <w:tcPr>
            <w:tcMar>
              <w:top w:type="dxa" w:w="80"/>
              <w:left w:type="dxa" w:w="100"/>
              <w:bottom w:type="dxa" w:w="80"/>
              <w:right w:type="dxa" w:w="100"/>
            </w:tcMar>
          </w:tcPr>
          <w:p>
            <w:r>
              <w:rPr>
                <w:b w:val="false"/>
                <w:bCs w:val="false"/>
                <w:color w:val="2D3748"/>
                <w:sz w:val="18"/>
                <w:szCs w:val="18"/>
              </w:rPr>
              <w:t xml:space="preserve">130,99 €/día</w:t>
            </w:r>
          </w:p>
        </w:tc>
      </w:tr>
    </w:tbl>
    <w:p>
      <w:pPr>
        <w:spacing w:after="120"/>
      </w:pPr>
    </w:p>
    <w:p>
      <w:pPr>
        <w:pStyle w:val="Heading3"/>
        <w:spacing w:after="80" w:before="200"/>
      </w:pPr>
      <w:r>
        <w:rPr>
          <w:b/>
          <w:bCs/>
          <w:color w:val="2C5282"/>
          <w:sz w:val="22"/>
          <w:szCs w:val="22"/>
        </w:rPr>
        <w:t xml:space="preserve">4.2 Indemnización por despido improcedente (art. 56.1 ET) — 33 días/año</w:t>
      </w:r>
    </w:p>
    <w:p>
      <w:pPr>
        <w:spacing w:after="120"/>
      </w:pPr>
      <w:r>
        <w:rPr>
          <w:color w:val="2D3748"/>
          <w:sz w:val="20"/>
          <w:szCs w:val="20"/>
        </w:rPr>
        <w:t xml:space="preserve">Toda la antigüedad se computa a 33 días por año trabajado (contrato formalizado con posterioridad al 12/02/2012), con tope de 24 mensualidades.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Período</w:t>
            </w:r>
          </w:p>
        </w:tc>
        <w:tc>
          <w:tcPr>
            <w:shd w:fill="EBF4FF"/>
            <w:tcMar>
              <w:top w:type="dxa" w:w="80"/>
              <w:left w:type="dxa" w:w="100"/>
              <w:bottom w:type="dxa" w:w="80"/>
              <w:right w:type="dxa" w:w="100"/>
            </w:tcMar>
          </w:tcPr>
          <w:p>
            <w:r>
              <w:rPr>
                <w:b/>
                <w:bCs/>
                <w:color w:val="1A365D"/>
                <w:sz w:val="18"/>
                <w:szCs w:val="18"/>
              </w:rPr>
              <w:t xml:space="preserve">Años</w:t>
            </w:r>
          </w:p>
        </w:tc>
        <w:tc>
          <w:tcPr>
            <w:shd w:fill="EBF4FF"/>
            <w:tcMar>
              <w:top w:type="dxa" w:w="80"/>
              <w:left w:type="dxa" w:w="100"/>
              <w:bottom w:type="dxa" w:w="80"/>
              <w:right w:type="dxa" w:w="100"/>
            </w:tcMar>
          </w:tcPr>
          <w:p>
            <w:r>
              <w:rPr>
                <w:b/>
                <w:bCs/>
                <w:color w:val="1A365D"/>
                <w:sz w:val="18"/>
                <w:szCs w:val="18"/>
              </w:rPr>
              <w:t xml:space="preserve">Días indemnizables (× 33)</w:t>
            </w:r>
          </w:p>
        </w:tc>
        <w:tc>
          <w:tcPr>
            <w:shd w:fill="EBF4FF"/>
            <w:tcMar>
              <w:top w:type="dxa" w:w="80"/>
              <w:left w:type="dxa" w:w="100"/>
              <w:bottom w:type="dxa" w:w="80"/>
              <w:right w:type="dxa" w:w="100"/>
            </w:tcMar>
          </w:tcPr>
          <w:p>
            <w:r>
              <w:rPr>
                <w:b/>
                <w:bCs/>
                <w:color w:val="1A365D"/>
                <w:sz w:val="18"/>
                <w:szCs w:val="18"/>
              </w:rPr>
              <w:t xml:space="preserve">Importe</w:t>
            </w:r>
          </w:p>
        </w:tc>
      </w:tr>
      <w:tr>
        <w:trPr>
          <w:tblHeader w:val="false"/>
        </w:trPr>
        <w:tc>
          <w:tcPr>
            <w:tcMar>
              <w:top w:type="dxa" w:w="80"/>
              <w:left w:type="dxa" w:w="100"/>
              <w:bottom w:type="dxa" w:w="80"/>
              <w:right w:type="dxa" w:w="100"/>
            </w:tcMar>
          </w:tcPr>
          <w:p>
            <w:r>
              <w:rPr>
                <w:b w:val="false"/>
                <w:bCs w:val="false"/>
                <w:color w:val="2D3748"/>
                <w:sz w:val="18"/>
                <w:szCs w:val="18"/>
              </w:rPr>
              <w:t xml:space="preserve">03/09/2018 – 14/05/2026</w:t>
            </w:r>
          </w:p>
        </w:tc>
        <w:tc>
          <w:tcPr>
            <w:tcMar>
              <w:top w:type="dxa" w:w="80"/>
              <w:left w:type="dxa" w:w="100"/>
              <w:bottom w:type="dxa" w:w="80"/>
              <w:right w:type="dxa" w:w="100"/>
            </w:tcMar>
          </w:tcPr>
          <w:p>
            <w:r>
              <w:rPr>
                <w:b w:val="false"/>
                <w:bCs w:val="false"/>
                <w:color w:val="2D3748"/>
                <w:sz w:val="18"/>
                <w:szCs w:val="18"/>
              </w:rPr>
              <w:t xml:space="preserve">7,6912 años</w:t>
            </w:r>
          </w:p>
        </w:tc>
        <w:tc>
          <w:tcPr>
            <w:tcMar>
              <w:top w:type="dxa" w:w="80"/>
              <w:left w:type="dxa" w:w="100"/>
              <w:bottom w:type="dxa" w:w="80"/>
              <w:right w:type="dxa" w:w="100"/>
            </w:tcMar>
          </w:tcPr>
          <w:p>
            <w:r>
              <w:rPr>
                <w:b w:val="false"/>
                <w:bCs w:val="false"/>
                <w:color w:val="2D3748"/>
                <w:sz w:val="18"/>
                <w:szCs w:val="18"/>
              </w:rPr>
              <w:t xml:space="preserve">253,81 días</w:t>
            </w:r>
          </w:p>
        </w:tc>
        <w:tc>
          <w:tcPr>
            <w:tcMar>
              <w:top w:type="dxa" w:w="80"/>
              <w:left w:type="dxa" w:w="100"/>
              <w:bottom w:type="dxa" w:w="80"/>
              <w:right w:type="dxa" w:w="100"/>
            </w:tcMar>
          </w:tcPr>
          <w:p>
            <w:r>
              <w:rPr>
                <w:b w:val="false"/>
                <w:bCs w:val="false"/>
                <w:color w:val="2D3748"/>
                <w:sz w:val="18"/>
                <w:szCs w:val="18"/>
              </w:rPr>
              <w:t xml:space="preserve">253,81 × 130,99 = </w:t>
            </w:r>
            <w:r>
              <w:rPr>
                <w:b/>
                <w:bCs/>
                <w:color w:val="2D3748"/>
                <w:sz w:val="18"/>
                <w:szCs w:val="18"/>
              </w:rPr>
              <w:t xml:space="preserve">33.247,49 €</w:t>
            </w:r>
          </w:p>
        </w:tc>
      </w:tr>
    </w:tbl>
    <w:p>
      <w:pPr>
        <w:spacing w:after="120"/>
      </w:pPr>
    </w:p>
    <w:p>
      <w:pPr>
        <w:spacing w:after="120"/>
      </w:pPr>
      <w:r>
        <w:rPr>
          <w:b/>
          <w:bCs/>
          <w:color w:val="2D3748"/>
          <w:sz w:val="20"/>
          <w:szCs w:val="20"/>
        </w:rPr>
        <w:t xml:space="preserve">Comprobación del tope:</w:t>
      </w:r>
      <w:r>
        <w:rPr>
          <w:color w:val="2D3748"/>
          <w:sz w:val="20"/>
          <w:szCs w:val="20"/>
        </w:rPr>
        <w:t xml:space="preserve"> 24 mensualidades = 24 × (47.812 / 12) = 24 × 3.984,33 = 95.624,00 €. No se supera.</w:t>
      </w:r>
    </w:p>
    <w:p>
      <w:pPr>
        <w:pBdr>
          <w:left w:val="single" w:color="2C5282" w:sz="18" w:space="8"/>
        </w:pBdr>
        <w:spacing w:after="160" w:before="80"/>
        <w:ind w:left="360"/>
      </w:pPr>
      <w:r>
        <w:rPr>
          <w:b/>
          <w:bCs/>
          <w:i/>
          <w:iCs/>
          <w:color w:val="4A5568"/>
          <w:sz w:val="20"/>
          <w:szCs w:val="20"/>
        </w:rPr>
        <w:t xml:space="preserve">Indemnización por improcedencia: ≈ 33.247 €</w:t>
      </w:r>
    </w:p>
    <w:p>
      <w:pPr>
        <w:pStyle w:val="Heading3"/>
        <w:spacing w:after="80" w:before="200"/>
      </w:pPr>
      <w:r>
        <w:rPr>
          <w:b/>
          <w:bCs/>
          <w:color w:val="2C5282"/>
          <w:sz w:val="22"/>
          <w:szCs w:val="22"/>
        </w:rPr>
        <w:t xml:space="preserve">4.3 Indemnización alternativa: despido objetivo improcedente — 20 días/año (referencia comparativa)</w:t>
      </w:r>
    </w:p>
    <w:p>
      <w:pPr>
        <w:spacing w:after="120"/>
      </w:pPr>
      <w:r>
        <w:rPr>
          <w:color w:val="2D3748"/>
          <w:sz w:val="20"/>
          <w:szCs w:val="20"/>
        </w:rPr>
        <w:t xml:space="preserve">Si la empresa hubiera tramitado un despido objetivo (art. 52 ET) y fuera declarado procedente, la indemnización habría sido: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Días/año</w:t>
            </w:r>
          </w:p>
        </w:tc>
        <w:tc>
          <w:tcPr>
            <w:shd w:fill="EBF4FF"/>
            <w:tcMar>
              <w:top w:type="dxa" w:w="80"/>
              <w:left w:type="dxa" w:w="100"/>
              <w:bottom w:type="dxa" w:w="80"/>
              <w:right w:type="dxa" w:w="100"/>
            </w:tcMar>
          </w:tcPr>
          <w:p>
            <w:r>
              <w:rPr>
                <w:b/>
                <w:bCs/>
                <w:color w:val="1A365D"/>
                <w:sz w:val="18"/>
                <w:szCs w:val="18"/>
              </w:rPr>
              <w:t xml:space="preserve">Cálculo</w:t>
            </w:r>
          </w:p>
        </w:tc>
        <w:tc>
          <w:tcPr>
            <w:shd w:fill="EBF4FF"/>
            <w:tcMar>
              <w:top w:type="dxa" w:w="80"/>
              <w:left w:type="dxa" w:w="100"/>
              <w:bottom w:type="dxa" w:w="80"/>
              <w:right w:type="dxa" w:w="100"/>
            </w:tcMar>
          </w:tcPr>
          <w:p>
            <w:r>
              <w:rPr>
                <w:b/>
                <w:bCs/>
                <w:color w:val="1A365D"/>
                <w:sz w:val="18"/>
                <w:szCs w:val="18"/>
              </w:rPr>
              <w:t xml:space="preserve">Importe</w:t>
            </w:r>
          </w:p>
        </w:tc>
      </w:tr>
      <w:tr>
        <w:trPr>
          <w:tblHeader w:val="false"/>
        </w:trPr>
        <w:tc>
          <w:tcPr>
            <w:tcMar>
              <w:top w:type="dxa" w:w="80"/>
              <w:left w:type="dxa" w:w="100"/>
              <w:bottom w:type="dxa" w:w="80"/>
              <w:right w:type="dxa" w:w="100"/>
            </w:tcMar>
          </w:tcPr>
          <w:p>
            <w:r>
              <w:rPr>
                <w:b w:val="false"/>
                <w:bCs w:val="false"/>
                <w:color w:val="2D3748"/>
                <w:sz w:val="18"/>
                <w:szCs w:val="18"/>
              </w:rPr>
              <w:t xml:space="preserve">20 días/año</w:t>
            </w:r>
          </w:p>
        </w:tc>
        <w:tc>
          <w:tcPr>
            <w:tcMar>
              <w:top w:type="dxa" w:w="80"/>
              <w:left w:type="dxa" w:w="100"/>
              <w:bottom w:type="dxa" w:w="80"/>
              <w:right w:type="dxa" w:w="100"/>
            </w:tcMar>
          </w:tcPr>
          <w:p>
            <w:r>
              <w:rPr>
                <w:b w:val="false"/>
                <w:bCs w:val="false"/>
                <w:color w:val="2D3748"/>
                <w:sz w:val="18"/>
                <w:szCs w:val="18"/>
              </w:rPr>
              <w:t xml:space="preserve">7,6912 × 20 × 130,99</w:t>
            </w:r>
          </w:p>
        </w:tc>
        <w:tc>
          <w:tcPr>
            <w:tcMar>
              <w:top w:type="dxa" w:w="80"/>
              <w:left w:type="dxa" w:w="100"/>
              <w:bottom w:type="dxa" w:w="80"/>
              <w:right w:type="dxa" w:w="100"/>
            </w:tcMar>
          </w:tcPr>
          <w:p>
            <w:r>
              <w:rPr>
                <w:b/>
                <w:bCs/>
                <w:color w:val="2D3748"/>
                <w:sz w:val="18"/>
                <w:szCs w:val="18"/>
              </w:rPr>
              <w:t xml:space="preserve">20.149,69 €</w:t>
            </w:r>
          </w:p>
        </w:tc>
      </w:tr>
    </w:tbl>
    <w:p>
      <w:pPr>
        <w:spacing w:after="120"/>
      </w:pPr>
    </w:p>
    <w:p>
      <w:pPr>
        <w:pStyle w:val="Heading3"/>
        <w:spacing w:after="80" w:before="200"/>
      </w:pPr>
      <w:r>
        <w:rPr>
          <w:b/>
          <w:bCs/>
          <w:color w:val="2C5282"/>
          <w:sz w:val="22"/>
          <w:szCs w:val="22"/>
        </w:rPr>
        <w:t xml:space="preserve">4.4 Indemnización máxima teórica — 45 días/año (no aplicable)</w:t>
      </w:r>
    </w:p>
    <w:p>
      <w:pPr>
        <w:spacing w:after="120"/>
      </w:pPr>
      <w:r>
        <w:rPr>
          <w:color w:val="2D3748"/>
          <w:sz w:val="20"/>
          <w:szCs w:val="20"/>
        </w:rPr>
        <w:t xml:space="preserve">No procede el cómputo a 45 días/año al no existir antigüedad anterior al 12 de febrero de 2012 (el contrato es de septiembre de 2018).</w:t>
      </w:r>
    </w:p>
    <w:p>
      <w:pPr>
        <w:pStyle w:val="Heading3"/>
        <w:spacing w:after="80" w:before="200"/>
      </w:pPr>
      <w:r>
        <w:rPr>
          <w:b/>
          <w:bCs/>
          <w:color w:val="2C5282"/>
          <w:sz w:val="22"/>
          <w:szCs w:val="22"/>
        </w:rPr>
        <w:t xml:space="preserve">4.5 Otros conceptos reclamables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Estimación</w:t>
            </w:r>
          </w:p>
        </w:tc>
      </w:tr>
      <w:tr>
        <w:trPr>
          <w:tblHeader w:val="false"/>
        </w:trPr>
        <w:tc>
          <w:tcPr>
            <w:tcMar>
              <w:top w:type="dxa" w:w="80"/>
              <w:left w:type="dxa" w:w="100"/>
              <w:bottom w:type="dxa" w:w="80"/>
              <w:right w:type="dxa" w:w="100"/>
            </w:tcMar>
          </w:tcPr>
          <w:p>
            <w:r>
              <w:rPr>
                <w:b w:val="false"/>
                <w:bCs w:val="false"/>
                <w:color w:val="2D3748"/>
                <w:sz w:val="18"/>
                <w:szCs w:val="18"/>
              </w:rPr>
              <w:t xml:space="preserve">Salarios de tramitación</w:t>
            </w:r>
          </w:p>
        </w:tc>
        <w:tc>
          <w:tcPr>
            <w:tcMar>
              <w:top w:type="dxa" w:w="80"/>
              <w:left w:type="dxa" w:w="100"/>
              <w:bottom w:type="dxa" w:w="80"/>
              <w:right w:type="dxa" w:w="100"/>
            </w:tcMar>
          </w:tcPr>
          <w:p>
            <w:r>
              <w:rPr>
                <w:b w:val="false"/>
                <w:bCs w:val="false"/>
                <w:color w:val="2D3748"/>
                <w:sz w:val="18"/>
                <w:szCs w:val="18"/>
              </w:rPr>
              <w:t xml:space="preserve">No proceden (art. 56.2 ET): el trabajador opta por indemnización, no por readmisión</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Liquidación pendiente (ya reconocida en carta)</w:t>
            </w:r>
          </w:p>
        </w:tc>
        <w:tc>
          <w:tcPr>
            <w:shd w:fill="F7FAFC"/>
            <w:tcMar>
              <w:top w:type="dxa" w:w="80"/>
              <w:left w:type="dxa" w:w="100"/>
              <w:bottom w:type="dxa" w:w="80"/>
              <w:right w:type="dxa" w:w="100"/>
            </w:tcMar>
          </w:tcPr>
          <w:p>
            <w:r>
              <w:rPr>
                <w:b w:val="false"/>
                <w:bCs w:val="false"/>
                <w:color w:val="2D3748"/>
                <w:sz w:val="18"/>
                <w:szCs w:val="18"/>
              </w:rPr>
              <w:t xml:space="preserve">Salario 01-14/05/2026 + prorrata pagas extras + 14 días vacaciones no disfrutadas ≈ 4.500-5.200 €</w:t>
            </w:r>
          </w:p>
        </w:tc>
      </w:tr>
      <w:tr>
        <w:trPr>
          <w:tblHeader w:val="false"/>
        </w:trPr>
        <w:tc>
          <w:tcPr>
            <w:tcMar>
              <w:top w:type="dxa" w:w="80"/>
              <w:left w:type="dxa" w:w="100"/>
              <w:bottom w:type="dxa" w:w="80"/>
              <w:right w:type="dxa" w:w="100"/>
            </w:tcMar>
          </w:tcPr>
          <w:p>
            <w:r>
              <w:rPr>
                <w:b w:val="false"/>
                <w:bCs w:val="false"/>
                <w:color w:val="2D3748"/>
                <w:sz w:val="18"/>
                <w:szCs w:val="18"/>
              </w:rPr>
              <w:t xml:space="preserve">Daños morales</w:t>
            </w:r>
          </w:p>
        </w:tc>
        <w:tc>
          <w:tcPr>
            <w:tcMar>
              <w:top w:type="dxa" w:w="80"/>
              <w:left w:type="dxa" w:w="100"/>
              <w:bottom w:type="dxa" w:w="80"/>
              <w:right w:type="dxa" w:w="100"/>
            </w:tcMar>
          </w:tcPr>
          <w:p>
            <w:r>
              <w:rPr>
                <w:b w:val="false"/>
                <w:bCs w:val="false"/>
                <w:color w:val="2D3748"/>
                <w:sz w:val="18"/>
                <w:szCs w:val="18"/>
              </w:rPr>
              <w:t xml:space="preserve">No se reclaman (pretensión limitada a improcedencia)</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5. ESTRATEGIA PROCESAL Y DE PRUEBA PARA LA VISTA</w:t>
      </w:r>
    </w:p>
    <w:p>
      <w:pPr>
        <w:pStyle w:val="Heading3"/>
        <w:spacing w:after="80" w:before="200"/>
      </w:pPr>
      <w:r>
        <w:rPr>
          <w:b/>
          <w:bCs/>
          <w:color w:val="2C5282"/>
          <w:sz w:val="22"/>
          <w:szCs w:val="22"/>
        </w:rPr>
        <w:t xml:space="preserve">5.1 Estructura del acto de juicio</w:t>
      </w:r>
    </w:p>
    <w:p>
      <w:pPr>
        <w:spacing w:after="120"/>
      </w:pPr>
      <w:r>
        <w:rPr>
          <w:b/>
          <w:bCs/>
          <w:color w:val="2D3748"/>
          <w:sz w:val="20"/>
          <w:szCs w:val="20"/>
        </w:rPr>
        <w:t xml:space="preserve">Fase de alegaciones — Línea argumental principal:</w:t>
      </w:r>
    </w:p>
    <w:p>
      <w:pPr>
        <w:pStyle w:val="ListParagraph"/>
        <w:numPr>
          <w:ilvl w:val="0"/>
          <w:numId w:val="2"/>
        </w:numPr>
        <w:spacing w:after="60"/>
      </w:pPr>
      <w:r>
        <w:rPr>
          <w:color w:val="2D3748"/>
          <w:sz w:val="20"/>
          <w:szCs w:val="20"/>
        </w:rPr>
        <w:t xml:space="preserve">La carta de despido se funda en cinco hechos, de los cuales cuatro son objetivamente falsos o descontextualizados y el quinto (Upwork) carece de prueba suficiente.</w:t>
      </w:r>
    </w:p>
    <w:p>
      <w:pPr>
        <w:pStyle w:val="ListParagraph"/>
        <w:numPr>
          <w:ilvl w:val="0"/>
          <w:numId w:val="2"/>
        </w:numPr>
        <w:spacing w:after="60"/>
      </w:pPr>
      <w:r>
        <w:rPr>
          <w:color w:val="2D3748"/>
          <w:sz w:val="20"/>
          <w:szCs w:val="20"/>
        </w:rPr>
        <w:t xml:space="preserve">Los hechos revelan que la empresa ha fabricado una causa disciplinaria para encubrir un despido de naturaleza económica/organizativa, eludiendo la indemnización legal por despido objetivo y el procedimiento de consultas colectivo (reestructuración encubierta).</w:t>
      </w:r>
    </w:p>
    <w:p>
      <w:pPr>
        <w:pStyle w:val="ListParagraph"/>
        <w:numPr>
          <w:ilvl w:val="0"/>
          <w:numId w:val="2"/>
        </w:numPr>
        <w:spacing w:after="60"/>
      </w:pPr>
      <w:r>
        <w:rPr>
          <w:color w:val="2D3748"/>
          <w:sz w:val="20"/>
          <w:szCs w:val="20"/>
        </w:rPr>
        <w:t xml:space="preserve">Subsidiariamente, aun en la hipótesis de que alguno de los hechos imputados fuera cierto, el despido sería desproporcionado a la luz de la doctrina gradualista (7 años y 8 meses, cero antecedentes, evaluaciones satisfactorias, ausencia de sanción previa de cualquier grado).</w:t>
      </w:r>
    </w:p>
    <w:p>
      <w:pPr>
        <w:pStyle w:val="Heading3"/>
        <w:spacing w:after="80" w:before="200"/>
      </w:pPr>
      <w:r>
        <w:rPr>
          <w:b/>
          <w:bCs/>
          <w:color w:val="2C5282"/>
          <w:sz w:val="22"/>
          <w:szCs w:val="22"/>
        </w:rPr>
        <w:t xml:space="preserve">5.2 Proposición de prueba</w:t>
      </w:r>
    </w:p>
    <w:p>
      <w:pPr>
        <w:spacing w:after="120"/>
      </w:pPr>
      <w:r>
        <w:rPr>
          <w:b/>
          <w:bCs/>
          <w:color w:val="2D3748"/>
          <w:sz w:val="20"/>
          <w:szCs w:val="20"/>
        </w:rPr>
        <w:t xml:space="preserve">A) Documental (a aportar por esta parte):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Nº</w:t>
            </w:r>
          </w:p>
        </w:tc>
        <w:tc>
          <w:tcPr>
            <w:shd w:fill="EBF4FF"/>
            <w:tcMar>
              <w:top w:type="dxa" w:w="80"/>
              <w:left w:type="dxa" w:w="100"/>
              <w:bottom w:type="dxa" w:w="80"/>
              <w:right w:type="dxa" w:w="100"/>
            </w:tcMar>
          </w:tcPr>
          <w:p>
            <w:r>
              <w:rPr>
                <w:b/>
                <w:bCs/>
                <w:color w:val="1A365D"/>
                <w:sz w:val="18"/>
                <w:szCs w:val="18"/>
              </w:rPr>
              <w:t xml:space="preserve">Documento</w:t>
            </w:r>
          </w:p>
        </w:tc>
        <w:tc>
          <w:tcPr>
            <w:shd w:fill="EBF4FF"/>
            <w:tcMar>
              <w:top w:type="dxa" w:w="80"/>
              <w:left w:type="dxa" w:w="100"/>
              <w:bottom w:type="dxa" w:w="80"/>
              <w:right w:type="dxa" w:w="100"/>
            </w:tcMar>
          </w:tcPr>
          <w:p>
            <w:r>
              <w:rPr>
                <w:b/>
                <w:bCs/>
                <w:color w:val="1A365D"/>
                <w:sz w:val="18"/>
                <w:szCs w:val="18"/>
              </w:rPr>
              <w:t xml:space="preserve">Acredita</w:t>
            </w:r>
          </w:p>
        </w:tc>
      </w:tr>
      <w:tr>
        <w:trPr>
          <w:tblHeader w:val="false"/>
        </w:trPr>
        <w:tc>
          <w:tcPr>
            <w:tcMar>
              <w:top w:type="dxa" w:w="80"/>
              <w:left w:type="dxa" w:w="100"/>
              <w:bottom w:type="dxa" w:w="80"/>
              <w:right w:type="dxa" w:w="100"/>
            </w:tcMar>
          </w:tcPr>
          <w:p>
            <w:r>
              <w:rPr>
                <w:b w:val="false"/>
                <w:bCs w:val="false"/>
                <w:color w:val="2D3748"/>
                <w:sz w:val="18"/>
                <w:szCs w:val="18"/>
              </w:rPr>
              <w:t xml:space="preserve">D-1</w:t>
            </w:r>
          </w:p>
        </w:tc>
        <w:tc>
          <w:tcPr>
            <w:tcMar>
              <w:top w:type="dxa" w:w="80"/>
              <w:left w:type="dxa" w:w="100"/>
              <w:bottom w:type="dxa" w:w="80"/>
              <w:right w:type="dxa" w:w="100"/>
            </w:tcMar>
          </w:tcPr>
          <w:p>
            <w:r>
              <w:rPr>
                <w:b w:val="false"/>
                <w:bCs w:val="false"/>
                <w:color w:val="2D3748"/>
                <w:sz w:val="18"/>
                <w:szCs w:val="18"/>
              </w:rPr>
              <w:t xml:space="preserve">Correo .eml de Dña. Marta del Valle (25/02/2026)</w:t>
            </w:r>
          </w:p>
        </w:tc>
        <w:tc>
          <w:tcPr>
            <w:tcMar>
              <w:top w:type="dxa" w:w="80"/>
              <w:left w:type="dxa" w:w="100"/>
              <w:bottom w:type="dxa" w:w="80"/>
              <w:right w:type="dxa" w:w="100"/>
            </w:tcMar>
          </w:tcPr>
          <w:p>
            <w:r>
              <w:rPr>
                <w:b w:val="false"/>
                <w:bCs w:val="false"/>
                <w:color w:val="2D3748"/>
                <w:sz w:val="18"/>
                <w:szCs w:val="18"/>
              </w:rPr>
              <w:t xml:space="preserve">Reasignación a NB-PLAT; instrucción de no usar NB-BACK</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D-2</w:t>
            </w:r>
          </w:p>
        </w:tc>
        <w:tc>
          <w:tcPr>
            <w:shd w:fill="F7FAFC"/>
            <w:tcMar>
              <w:top w:type="dxa" w:w="80"/>
              <w:left w:type="dxa" w:w="100"/>
              <w:bottom w:type="dxa" w:w="80"/>
              <w:right w:type="dxa" w:w="100"/>
            </w:tcMar>
          </w:tcPr>
          <w:p>
            <w:r>
              <w:rPr>
                <w:b w:val="false"/>
                <w:bCs w:val="false"/>
                <w:color w:val="2D3748"/>
                <w:sz w:val="18"/>
                <w:szCs w:val="18"/>
              </w:rPr>
              <w:t xml:space="preserve">Capturas de pantalla del tablón JIRA NB-PLAT (feb-abr 2026)</w:t>
            </w:r>
          </w:p>
        </w:tc>
        <w:tc>
          <w:tcPr>
            <w:shd w:fill="F7FAFC"/>
            <w:tcMar>
              <w:top w:type="dxa" w:w="80"/>
              <w:left w:type="dxa" w:w="100"/>
              <w:bottom w:type="dxa" w:w="80"/>
              <w:right w:type="dxa" w:w="100"/>
            </w:tcMar>
          </w:tcPr>
          <w:p>
            <w:r>
              <w:rPr>
                <w:b w:val="false"/>
                <w:bCs w:val="false"/>
                <w:color w:val="2D3748"/>
                <w:sz w:val="18"/>
                <w:szCs w:val="18"/>
              </w:rPr>
              <w:t xml:space="preserve">312 horas imputadas, 6-8 tickets/semana</w:t>
            </w:r>
          </w:p>
        </w:tc>
      </w:tr>
      <w:tr>
        <w:trPr>
          <w:tblHeader w:val="false"/>
        </w:trPr>
        <w:tc>
          <w:tcPr>
            <w:tcMar>
              <w:top w:type="dxa" w:w="80"/>
              <w:left w:type="dxa" w:w="100"/>
              <w:bottom w:type="dxa" w:w="80"/>
              <w:right w:type="dxa" w:w="100"/>
            </w:tcMar>
          </w:tcPr>
          <w:p>
            <w:r>
              <w:rPr>
                <w:b w:val="false"/>
                <w:bCs w:val="false"/>
                <w:color w:val="2D3748"/>
                <w:sz w:val="18"/>
                <w:szCs w:val="18"/>
              </w:rPr>
              <w:t xml:space="preserve">D-3</w:t>
            </w:r>
          </w:p>
        </w:tc>
        <w:tc>
          <w:tcPr>
            <w:tcMar>
              <w:top w:type="dxa" w:w="80"/>
              <w:left w:type="dxa" w:w="100"/>
              <w:bottom w:type="dxa" w:w="80"/>
              <w:right w:type="dxa" w:w="100"/>
            </w:tcMar>
          </w:tcPr>
          <w:p>
            <w:r>
              <w:rPr>
                <w:b w:val="false"/>
                <w:bCs w:val="false"/>
                <w:color w:val="2D3748"/>
                <w:sz w:val="18"/>
                <w:szCs w:val="18"/>
              </w:rPr>
              <w:t xml:space="preserve">Dashboard de contribuciones JIRA NB-PLAT</w:t>
            </w:r>
          </w:p>
        </w:tc>
        <w:tc>
          <w:tcPr>
            <w:tcMar>
              <w:top w:type="dxa" w:w="80"/>
              <w:left w:type="dxa" w:w="100"/>
              <w:bottom w:type="dxa" w:w="80"/>
              <w:right w:type="dxa" w:w="100"/>
            </w:tcMar>
          </w:tcPr>
          <w:p>
            <w:r>
              <w:rPr>
                <w:b w:val="false"/>
                <w:bCs w:val="false"/>
                <w:color w:val="2D3748"/>
                <w:sz w:val="18"/>
                <w:szCs w:val="18"/>
              </w:rPr>
              <w:t xml:space="preserve">Actividad continuada y rendimiento normal</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D-4</w:t>
            </w:r>
          </w:p>
        </w:tc>
        <w:tc>
          <w:tcPr>
            <w:shd w:fill="F7FAFC"/>
            <w:tcMar>
              <w:top w:type="dxa" w:w="80"/>
              <w:left w:type="dxa" w:w="100"/>
              <w:bottom w:type="dxa" w:w="80"/>
              <w:right w:type="dxa" w:w="100"/>
            </w:tcMar>
          </w:tcPr>
          <w:p>
            <w:r>
              <w:rPr>
                <w:b w:val="false"/>
                <w:bCs w:val="false"/>
                <w:color w:val="2D3748"/>
                <w:sz w:val="18"/>
                <w:szCs w:val="18"/>
              </w:rPr>
              <w:t xml:space="preserve">Registros de asistencia Google Meet — stand-ups Nimbo (4, 11, 18/03/2026)</w:t>
            </w:r>
          </w:p>
        </w:tc>
        <w:tc>
          <w:tcPr>
            <w:shd w:fill="F7FAFC"/>
            <w:tcMar>
              <w:top w:type="dxa" w:w="80"/>
              <w:left w:type="dxa" w:w="100"/>
              <w:bottom w:type="dxa" w:w="80"/>
              <w:right w:type="dxa" w:w="100"/>
            </w:tcMar>
          </w:tcPr>
          <w:p>
            <w:r>
              <w:rPr>
                <w:b w:val="false"/>
                <w:bCs w:val="false"/>
                <w:color w:val="2D3748"/>
                <w:sz w:val="18"/>
                <w:szCs w:val="18"/>
              </w:rPr>
              <w:t xml:space="preserve">Presencia en reuniones los días de supuesta incomunicación</w:t>
            </w:r>
          </w:p>
        </w:tc>
      </w:tr>
      <w:tr>
        <w:trPr>
          <w:tblHeader w:val="false"/>
        </w:trPr>
        <w:tc>
          <w:tcPr>
            <w:tcMar>
              <w:top w:type="dxa" w:w="80"/>
              <w:left w:type="dxa" w:w="100"/>
              <w:bottom w:type="dxa" w:w="80"/>
              <w:right w:type="dxa" w:w="100"/>
            </w:tcMar>
          </w:tcPr>
          <w:p>
            <w:r>
              <w:rPr>
                <w:b w:val="false"/>
                <w:bCs w:val="false"/>
                <w:color w:val="2D3748"/>
                <w:sz w:val="18"/>
                <w:szCs w:val="18"/>
              </w:rPr>
              <w:t xml:space="preserve">D-5</w:t>
            </w:r>
          </w:p>
        </w:tc>
        <w:tc>
          <w:tcPr>
            <w:tcMar>
              <w:top w:type="dxa" w:w="80"/>
              <w:left w:type="dxa" w:w="100"/>
              <w:bottom w:type="dxa" w:w="80"/>
              <w:right w:type="dxa" w:w="100"/>
            </w:tcMar>
          </w:tcPr>
          <w:p>
            <w:r>
              <w:rPr>
                <w:b w:val="false"/>
                <w:bCs w:val="false"/>
                <w:color w:val="2D3748"/>
                <w:sz w:val="18"/>
                <w:szCs w:val="18"/>
              </w:rPr>
              <w:t xml:space="preserve">Historial del canal Slack #nimbo-platform</w:t>
            </w:r>
          </w:p>
        </w:tc>
        <w:tc>
          <w:tcPr>
            <w:tcMar>
              <w:top w:type="dxa" w:w="80"/>
              <w:left w:type="dxa" w:w="100"/>
              <w:bottom w:type="dxa" w:w="80"/>
              <w:right w:type="dxa" w:w="100"/>
            </w:tcMar>
          </w:tcPr>
          <w:p>
            <w:r>
              <w:rPr>
                <w:b w:val="false"/>
                <w:bCs w:val="false"/>
                <w:color w:val="2D3748"/>
                <w:sz w:val="18"/>
                <w:szCs w:val="18"/>
              </w:rPr>
              <w:t xml:space="preserve">Comunicaciones activas del trabajador en su canal real</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D-6</w:t>
            </w:r>
          </w:p>
        </w:tc>
        <w:tc>
          <w:tcPr>
            <w:shd w:fill="F7FAFC"/>
            <w:tcMar>
              <w:top w:type="dxa" w:w="80"/>
              <w:left w:type="dxa" w:w="100"/>
              <w:bottom w:type="dxa" w:w="80"/>
              <w:right w:type="dxa" w:w="100"/>
            </w:tcMar>
          </w:tcPr>
          <w:p>
            <w:r>
              <w:rPr>
                <w:b w:val="false"/>
                <w:bCs w:val="false"/>
                <w:color w:val="2D3748"/>
                <w:sz w:val="18"/>
                <w:szCs w:val="18"/>
              </w:rPr>
              <w:t xml:space="preserve">Parte médico de urgencias — Hospital Clínico (22/04/2026)</w:t>
            </w:r>
          </w:p>
        </w:tc>
        <w:tc>
          <w:tcPr>
            <w:shd w:fill="F7FAFC"/>
            <w:tcMar>
              <w:top w:type="dxa" w:w="80"/>
              <w:left w:type="dxa" w:w="100"/>
              <w:bottom w:type="dxa" w:w="80"/>
              <w:right w:type="dxa" w:w="100"/>
            </w:tcMar>
          </w:tcPr>
          <w:p>
            <w:r>
              <w:rPr>
                <w:b w:val="false"/>
                <w:bCs w:val="false"/>
                <w:color w:val="2D3748"/>
                <w:sz w:val="18"/>
                <w:szCs w:val="18"/>
              </w:rPr>
              <w:t xml:space="preserve">Ausencia justificada; crisis de ansiedad por estrés laboral</w:t>
            </w:r>
          </w:p>
        </w:tc>
      </w:tr>
      <w:tr>
        <w:trPr>
          <w:tblHeader w:val="false"/>
        </w:trPr>
        <w:tc>
          <w:tcPr>
            <w:tcMar>
              <w:top w:type="dxa" w:w="80"/>
              <w:left w:type="dxa" w:w="100"/>
              <w:bottom w:type="dxa" w:w="80"/>
              <w:right w:type="dxa" w:w="100"/>
            </w:tcMar>
          </w:tcPr>
          <w:p>
            <w:r>
              <w:rPr>
                <w:b w:val="false"/>
                <w:bCs w:val="false"/>
                <w:color w:val="2D3748"/>
                <w:sz w:val="18"/>
                <w:szCs w:val="18"/>
              </w:rPr>
              <w:t xml:space="preserve">D-7</w:t>
            </w:r>
          </w:p>
        </w:tc>
        <w:tc>
          <w:tcPr>
            <w:tcMar>
              <w:top w:type="dxa" w:w="80"/>
              <w:left w:type="dxa" w:w="100"/>
              <w:bottom w:type="dxa" w:w="80"/>
              <w:right w:type="dxa" w:w="100"/>
            </w:tcMar>
          </w:tcPr>
          <w:p>
            <w:r>
              <w:rPr>
                <w:b w:val="false"/>
                <w:bCs w:val="false"/>
                <w:color w:val="2D3748"/>
                <w:sz w:val="18"/>
                <w:szCs w:val="18"/>
              </w:rPr>
              <w:t xml:space="preserve">Parte de baja laboral IT (22/04/2026, 2 días)</w:t>
            </w:r>
          </w:p>
        </w:tc>
        <w:tc>
          <w:tcPr>
            <w:tcMar>
              <w:top w:type="dxa" w:w="80"/>
              <w:left w:type="dxa" w:w="100"/>
              <w:bottom w:type="dxa" w:w="80"/>
              <w:right w:type="dxa" w:w="100"/>
            </w:tcMar>
          </w:tcPr>
          <w:p>
            <w:r>
              <w:rPr>
                <w:b w:val="false"/>
                <w:bCs w:val="false"/>
                <w:color w:val="2D3748"/>
                <w:sz w:val="18"/>
                <w:szCs w:val="18"/>
              </w:rPr>
              <w:t xml:space="preserve">Baja oficial que cubre la ausencia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D-8</w:t>
            </w:r>
          </w:p>
        </w:tc>
        <w:tc>
          <w:tcPr>
            <w:shd w:fill="F7FAFC"/>
            <w:tcMar>
              <w:top w:type="dxa" w:w="80"/>
              <w:left w:type="dxa" w:w="100"/>
              <w:bottom w:type="dxa" w:w="80"/>
              <w:right w:type="dxa" w:w="100"/>
            </w:tcMar>
          </w:tcPr>
          <w:p>
            <w:r>
              <w:rPr>
                <w:b w:val="false"/>
                <w:bCs w:val="false"/>
                <w:color w:val="2D3748"/>
                <w:sz w:val="18"/>
                <w:szCs w:val="18"/>
              </w:rPr>
              <w:t xml:space="preserve">Evaluaciones de desempeño 2024, 2025 y enero 2026</w:t>
            </w:r>
          </w:p>
        </w:tc>
        <w:tc>
          <w:tcPr>
            <w:shd w:fill="F7FAFC"/>
            <w:tcMar>
              <w:top w:type="dxa" w:w="80"/>
              <w:left w:type="dxa" w:w="100"/>
              <w:bottom w:type="dxa" w:w="80"/>
              <w:right w:type="dxa" w:w="100"/>
            </w:tcMar>
          </w:tcPr>
          <w:p>
            <w:r>
              <w:rPr>
                <w:b w:val="false"/>
                <w:bCs w:val="false"/>
                <w:color w:val="2D3748"/>
                <w:sz w:val="18"/>
                <w:szCs w:val="18"/>
              </w:rPr>
              <w:t xml:space="preserve">Rendimiento satisfactorio sostenido (3,8/5)</w:t>
            </w:r>
          </w:p>
        </w:tc>
      </w:tr>
      <w:tr>
        <w:trPr>
          <w:tblHeader w:val="false"/>
        </w:trPr>
        <w:tc>
          <w:tcPr>
            <w:tcMar>
              <w:top w:type="dxa" w:w="80"/>
              <w:left w:type="dxa" w:w="100"/>
              <w:bottom w:type="dxa" w:w="80"/>
              <w:right w:type="dxa" w:w="100"/>
            </w:tcMar>
          </w:tcPr>
          <w:p>
            <w:r>
              <w:rPr>
                <w:b w:val="false"/>
                <w:bCs w:val="false"/>
                <w:color w:val="2D3748"/>
                <w:sz w:val="18"/>
                <w:szCs w:val="18"/>
              </w:rPr>
              <w:t xml:space="preserve">D-9</w:t>
            </w:r>
          </w:p>
        </w:tc>
        <w:tc>
          <w:tcPr>
            <w:tcMar>
              <w:top w:type="dxa" w:w="80"/>
              <w:left w:type="dxa" w:w="100"/>
              <w:bottom w:type="dxa" w:w="80"/>
              <w:right w:type="dxa" w:w="100"/>
            </w:tcMar>
          </w:tcPr>
          <w:p>
            <w:r>
              <w:rPr>
                <w:b w:val="false"/>
                <w:bCs w:val="false"/>
                <w:color w:val="2D3748"/>
                <w:sz w:val="18"/>
                <w:szCs w:val="18"/>
              </w:rPr>
              <w:t xml:space="preserve">Contrato de trabajo íntegro (cláusulas 8ª y 9ª)</w:t>
            </w:r>
          </w:p>
        </w:tc>
        <w:tc>
          <w:tcPr>
            <w:tcMar>
              <w:top w:type="dxa" w:w="80"/>
              <w:left w:type="dxa" w:w="100"/>
              <w:bottom w:type="dxa" w:w="80"/>
              <w:right w:type="dxa" w:w="100"/>
            </w:tcMar>
          </w:tcPr>
          <w:p>
            <w:r>
              <w:rPr>
                <w:b w:val="false"/>
                <w:bCs w:val="false"/>
                <w:color w:val="2D3748"/>
                <w:sz w:val="18"/>
                <w:szCs w:val="18"/>
              </w:rPr>
              <w:t xml:space="preserve">Alcance real del pacto de exclusividad/no competencia</w:t>
            </w:r>
          </w:p>
        </w:tc>
      </w:tr>
    </w:tbl>
    <w:p>
      <w:pPr>
        <w:spacing w:after="120"/>
      </w:pPr>
    </w:p>
    <w:p>
      <w:pPr>
        <w:spacing w:after="120"/>
      </w:pPr>
      <w:r>
        <w:rPr>
          <w:b/>
          <w:bCs/>
          <w:color w:val="2D3748"/>
          <w:sz w:val="20"/>
          <w:szCs w:val="20"/>
        </w:rPr>
        <w:t xml:space="preserve">B) Prueba solicitada a la empresa vía art. 94 LRJS: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Nº</w:t>
            </w:r>
          </w:p>
        </w:tc>
        <w:tc>
          <w:tcPr>
            <w:shd w:fill="EBF4FF"/>
            <w:tcMar>
              <w:top w:type="dxa" w:w="80"/>
              <w:left w:type="dxa" w:w="100"/>
              <w:bottom w:type="dxa" w:w="80"/>
              <w:right w:type="dxa" w:w="100"/>
            </w:tcMar>
          </w:tcPr>
          <w:p>
            <w:r>
              <w:rPr>
                <w:b/>
                <w:bCs/>
                <w:color w:val="1A365D"/>
                <w:sz w:val="18"/>
                <w:szCs w:val="18"/>
              </w:rPr>
              <w:t xml:space="preserve">Requerimiento</w:t>
            </w:r>
          </w:p>
        </w:tc>
        <w:tc>
          <w:tcPr>
            <w:shd w:fill="EBF4FF"/>
            <w:tcMar>
              <w:top w:type="dxa" w:w="80"/>
              <w:left w:type="dxa" w:w="100"/>
              <w:bottom w:type="dxa" w:w="80"/>
              <w:right w:type="dxa" w:w="100"/>
            </w:tcMar>
          </w:tcPr>
          <w:p>
            <w:r>
              <w:rPr>
                <w:b/>
                <w:bCs/>
                <w:color w:val="1A365D"/>
                <w:sz w:val="18"/>
                <w:szCs w:val="18"/>
              </w:rPr>
              <w:t xml:space="preserve">Finalidad</w:t>
            </w:r>
          </w:p>
        </w:tc>
      </w:tr>
      <w:tr>
        <w:trPr>
          <w:tblHeader w:val="false"/>
        </w:trPr>
        <w:tc>
          <w:tcPr>
            <w:tcMar>
              <w:top w:type="dxa" w:w="80"/>
              <w:left w:type="dxa" w:w="100"/>
              <w:bottom w:type="dxa" w:w="80"/>
              <w:right w:type="dxa" w:w="100"/>
            </w:tcMar>
          </w:tcPr>
          <w:p>
            <w:r>
              <w:rPr>
                <w:b w:val="false"/>
                <w:bCs w:val="false"/>
                <w:color w:val="2D3748"/>
                <w:sz w:val="18"/>
                <w:szCs w:val="18"/>
              </w:rPr>
              <w:t xml:space="preserve">R-1</w:t>
            </w:r>
          </w:p>
        </w:tc>
        <w:tc>
          <w:tcPr>
            <w:tcMar>
              <w:top w:type="dxa" w:w="80"/>
              <w:left w:type="dxa" w:w="100"/>
              <w:bottom w:type="dxa" w:w="80"/>
              <w:right w:type="dxa" w:w="100"/>
            </w:tcMar>
          </w:tcPr>
          <w:p>
            <w:r>
              <w:rPr>
                <w:b w:val="false"/>
                <w:bCs w:val="false"/>
                <w:color w:val="2D3748"/>
                <w:sz w:val="18"/>
                <w:szCs w:val="18"/>
              </w:rPr>
              <w:t xml:space="preserve">Registro de actividad completo del tablón JIRA </w:t>
            </w:r>
            <w:r>
              <w:rPr>
                <w:b/>
                <w:bCs/>
                <w:color w:val="2D3748"/>
                <w:sz w:val="18"/>
                <w:szCs w:val="18"/>
              </w:rPr>
              <w:t xml:space="preserve">NB-PLAT</w:t>
            </w:r>
            <w:r>
              <w:rPr>
                <w:b w:val="false"/>
                <w:bCs w:val="false"/>
                <w:color w:val="2D3748"/>
                <w:sz w:val="18"/>
                <w:szCs w:val="18"/>
              </w:rPr>
              <w:t xml:space="preserve"> asociado al usuario de Aitor M.S. (feb-may 2026)</w:t>
            </w:r>
          </w:p>
        </w:tc>
        <w:tc>
          <w:tcPr>
            <w:tcMar>
              <w:top w:type="dxa" w:w="80"/>
              <w:left w:type="dxa" w:w="100"/>
              <w:bottom w:type="dxa" w:w="80"/>
              <w:right w:type="dxa" w:w="100"/>
            </w:tcMar>
          </w:tcPr>
          <w:p>
            <w:r>
              <w:rPr>
                <w:b w:val="false"/>
                <w:bCs w:val="false"/>
                <w:color w:val="2D3748"/>
                <w:sz w:val="18"/>
                <w:szCs w:val="18"/>
              </w:rPr>
              <w:t xml:space="preserve">Confirmar las 312 horas y la actividad real</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R-2</w:t>
            </w:r>
          </w:p>
        </w:tc>
        <w:tc>
          <w:tcPr>
            <w:shd w:fill="F7FAFC"/>
            <w:tcMar>
              <w:top w:type="dxa" w:w="80"/>
              <w:left w:type="dxa" w:w="100"/>
              <w:bottom w:type="dxa" w:w="80"/>
              <w:right w:type="dxa" w:w="100"/>
            </w:tcMar>
          </w:tcPr>
          <w:p>
            <w:r>
              <w:rPr>
                <w:b w:val="false"/>
                <w:bCs w:val="false"/>
                <w:color w:val="2D3748"/>
                <w:sz w:val="18"/>
                <w:szCs w:val="18"/>
              </w:rPr>
              <w:t xml:space="preserve">Registro completo del sistema de fichaje horario del trabajador (ene-may 2026)</w:t>
            </w:r>
          </w:p>
        </w:tc>
        <w:tc>
          <w:tcPr>
            <w:shd w:fill="F7FAFC"/>
            <w:tcMar>
              <w:top w:type="dxa" w:w="80"/>
              <w:left w:type="dxa" w:w="100"/>
              <w:bottom w:type="dxa" w:w="80"/>
              <w:right w:type="dxa" w:w="100"/>
            </w:tcMar>
          </w:tcPr>
          <w:p>
            <w:r>
              <w:rPr>
                <w:b w:val="false"/>
                <w:bCs w:val="false"/>
                <w:color w:val="2D3748"/>
                <w:sz w:val="18"/>
                <w:szCs w:val="18"/>
              </w:rPr>
              <w:t xml:space="preserve">Verificar que el fichaje es coherente con la jornada</w:t>
            </w:r>
          </w:p>
        </w:tc>
      </w:tr>
      <w:tr>
        <w:trPr>
          <w:tblHeader w:val="false"/>
        </w:trPr>
        <w:tc>
          <w:tcPr>
            <w:tcMar>
              <w:top w:type="dxa" w:w="80"/>
              <w:left w:type="dxa" w:w="100"/>
              <w:bottom w:type="dxa" w:w="80"/>
              <w:right w:type="dxa" w:w="100"/>
            </w:tcMar>
          </w:tcPr>
          <w:p>
            <w:r>
              <w:rPr>
                <w:b w:val="false"/>
                <w:bCs w:val="false"/>
                <w:color w:val="2D3748"/>
                <w:sz w:val="18"/>
                <w:szCs w:val="18"/>
              </w:rPr>
              <w:t xml:space="preserve">R-3</w:t>
            </w:r>
          </w:p>
        </w:tc>
        <w:tc>
          <w:tcPr>
            <w:tcMar>
              <w:top w:type="dxa" w:w="80"/>
              <w:left w:type="dxa" w:w="100"/>
              <w:bottom w:type="dxa" w:w="80"/>
              <w:right w:type="dxa" w:w="100"/>
            </w:tcMar>
          </w:tcPr>
          <w:p>
            <w:r>
              <w:rPr>
                <w:b w:val="false"/>
                <w:bCs w:val="false"/>
                <w:color w:val="2D3748"/>
                <w:sz w:val="18"/>
                <w:szCs w:val="18"/>
              </w:rPr>
              <w:t xml:space="preserve">Comunicación interna donde se acuerde la reasignación a Nimbo Platform v2</w:t>
            </w:r>
          </w:p>
        </w:tc>
        <w:tc>
          <w:tcPr>
            <w:tcMar>
              <w:top w:type="dxa" w:w="80"/>
              <w:left w:type="dxa" w:w="100"/>
              <w:bottom w:type="dxa" w:w="80"/>
              <w:right w:type="dxa" w:w="100"/>
            </w:tcMar>
          </w:tcPr>
          <w:p>
            <w:r>
              <w:rPr>
                <w:b w:val="false"/>
                <w:bCs w:val="false"/>
                <w:color w:val="2D3748"/>
                <w:sz w:val="18"/>
                <w:szCs w:val="18"/>
              </w:rPr>
              <w:t xml:space="preserve">Acreditar que la empresa conocía el cambio de proyecto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R-4</w:t>
            </w:r>
          </w:p>
        </w:tc>
        <w:tc>
          <w:tcPr>
            <w:shd w:fill="F7FAFC"/>
            <w:tcMar>
              <w:top w:type="dxa" w:w="80"/>
              <w:left w:type="dxa" w:w="100"/>
              <w:bottom w:type="dxa" w:w="80"/>
              <w:right w:type="dxa" w:w="100"/>
            </w:tcMar>
          </w:tcPr>
          <w:p>
            <w:r>
              <w:rPr>
                <w:b w:val="false"/>
                <w:bCs w:val="false"/>
                <w:color w:val="2D3748"/>
                <w:sz w:val="18"/>
                <w:szCs w:val="18"/>
              </w:rPr>
              <w:t xml:space="preserve">Acta notarial o soporte probatorio original del perfil de Upwork @aitormsdev</w:t>
            </w:r>
          </w:p>
        </w:tc>
        <w:tc>
          <w:tcPr>
            <w:shd w:fill="F7FAFC"/>
            <w:tcMar>
              <w:top w:type="dxa" w:w="80"/>
              <w:left w:type="dxa" w:w="100"/>
              <w:bottom w:type="dxa" w:w="80"/>
              <w:right w:type="dxa" w:w="100"/>
            </w:tcMar>
          </w:tcPr>
          <w:p>
            <w:r>
              <w:rPr>
                <w:b w:val="false"/>
                <w:bCs w:val="false"/>
                <w:color w:val="2D3748"/>
                <w:sz w:val="18"/>
                <w:szCs w:val="18"/>
              </w:rPr>
              <w:t xml:space="preserve">Verificar cadena de custodia y autenticidad</w:t>
            </w:r>
          </w:p>
        </w:tc>
      </w:tr>
      <w:tr>
        <w:trPr>
          <w:tblHeader w:val="false"/>
        </w:trPr>
        <w:tc>
          <w:tcPr>
            <w:tcMar>
              <w:top w:type="dxa" w:w="80"/>
              <w:left w:type="dxa" w:w="100"/>
              <w:bottom w:type="dxa" w:w="80"/>
              <w:right w:type="dxa" w:w="100"/>
            </w:tcMar>
          </w:tcPr>
          <w:p>
            <w:r>
              <w:rPr>
                <w:b w:val="false"/>
                <w:bCs w:val="false"/>
                <w:color w:val="2D3748"/>
                <w:sz w:val="18"/>
                <w:szCs w:val="18"/>
              </w:rPr>
              <w:t xml:space="preserve">R-5</w:t>
            </w:r>
          </w:p>
        </w:tc>
        <w:tc>
          <w:tcPr>
            <w:tcMar>
              <w:top w:type="dxa" w:w="80"/>
              <w:left w:type="dxa" w:w="100"/>
              <w:bottom w:type="dxa" w:w="80"/>
              <w:right w:type="dxa" w:w="100"/>
            </w:tcMar>
          </w:tcPr>
          <w:p>
            <w:r>
              <w:rPr>
                <w:b w:val="false"/>
                <w:bCs w:val="false"/>
                <w:color w:val="2D3748"/>
                <w:sz w:val="18"/>
                <w:szCs w:val="18"/>
              </w:rPr>
              <w:t xml:space="preserve">Relación de trabajadores despedidos o cuyo contrato se ha extinguido desde noviembre de 2025, con indicación de causa</w:t>
            </w:r>
          </w:p>
        </w:tc>
        <w:tc>
          <w:tcPr>
            <w:tcMar>
              <w:top w:type="dxa" w:w="80"/>
              <w:left w:type="dxa" w:w="100"/>
              <w:bottom w:type="dxa" w:w="80"/>
              <w:right w:type="dxa" w:w="100"/>
            </w:tcMar>
          </w:tcPr>
          <w:p>
            <w:r>
              <w:rPr>
                <w:b w:val="false"/>
                <w:bCs w:val="false"/>
                <w:color w:val="2D3748"/>
                <w:sz w:val="18"/>
                <w:szCs w:val="18"/>
              </w:rPr>
              <w:t xml:space="preserve">Acreditar reestructuración encubierta</w:t>
            </w:r>
          </w:p>
        </w:tc>
      </w:tr>
    </w:tbl>
    <w:p>
      <w:pPr>
        <w:spacing w:after="120"/>
      </w:pPr>
    </w:p>
    <w:p>
      <w:pPr>
        <w:spacing w:after="120"/>
      </w:pPr>
      <w:r>
        <w:rPr>
          <w:b/>
          <w:bCs/>
          <w:color w:val="2D3748"/>
          <w:sz w:val="20"/>
          <w:szCs w:val="20"/>
        </w:rPr>
        <w:t xml:space="preserve">C) Testifical: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Testigo</w:t>
            </w:r>
          </w:p>
        </w:tc>
        <w:tc>
          <w:tcPr>
            <w:shd w:fill="EBF4FF"/>
            <w:tcMar>
              <w:top w:type="dxa" w:w="80"/>
              <w:left w:type="dxa" w:w="100"/>
              <w:bottom w:type="dxa" w:w="80"/>
              <w:right w:type="dxa" w:w="100"/>
            </w:tcMar>
          </w:tcPr>
          <w:p>
            <w:r>
              <w:rPr>
                <w:b/>
                <w:bCs/>
                <w:color w:val="1A365D"/>
                <w:sz w:val="18"/>
                <w:szCs w:val="18"/>
              </w:rPr>
              <w:t xml:space="preserve">Relevancia</w:t>
            </w:r>
          </w:p>
        </w:tc>
      </w:tr>
      <w:tr>
        <w:trPr>
          <w:tblHeader w:val="false"/>
        </w:trPr>
        <w:tc>
          <w:tcPr>
            <w:tcMar>
              <w:top w:type="dxa" w:w="80"/>
              <w:left w:type="dxa" w:w="100"/>
              <w:bottom w:type="dxa" w:w="80"/>
              <w:right w:type="dxa" w:w="100"/>
            </w:tcMar>
          </w:tcPr>
          <w:p>
            <w:r>
              <w:rPr>
                <w:b/>
                <w:bCs/>
                <w:color w:val="2D3748"/>
                <w:sz w:val="18"/>
                <w:szCs w:val="18"/>
              </w:rPr>
              <w:t xml:space="preserve">Dña. Marta del Valle</w:t>
            </w:r>
            <w:r>
              <w:rPr>
                <w:b w:val="false"/>
                <w:bCs w:val="false"/>
                <w:color w:val="2D3748"/>
                <w:sz w:val="18"/>
                <w:szCs w:val="18"/>
              </w:rPr>
              <w:t xml:space="preserve"> (arquitecta de soluciones, responsable de Nimbo)</w:t>
            </w:r>
          </w:p>
        </w:tc>
        <w:tc>
          <w:tcPr>
            <w:tcMar>
              <w:top w:type="dxa" w:w="80"/>
              <w:left w:type="dxa" w:w="100"/>
              <w:bottom w:type="dxa" w:w="80"/>
              <w:right w:type="dxa" w:w="100"/>
            </w:tcMar>
          </w:tcPr>
          <w:p>
            <w:r>
              <w:rPr>
                <w:b w:val="false"/>
                <w:bCs w:val="false"/>
                <w:color w:val="2D3748"/>
                <w:sz w:val="18"/>
                <w:szCs w:val="18"/>
              </w:rPr>
              <w:t xml:space="preserve">Confirma reasignación, instrucción de usar NB-PLAT, actividad real del trabajador</w:t>
            </w:r>
          </w:p>
        </w:tc>
      </w:tr>
      <w:tr>
        <w:trPr>
          <w:tblHeader w:val="false"/>
        </w:trPr>
        <w:tc>
          <w:tcPr>
            <w:shd w:fill="F7FAFC"/>
            <w:tcMar>
              <w:top w:type="dxa" w:w="80"/>
              <w:left w:type="dxa" w:w="100"/>
              <w:bottom w:type="dxa" w:w="80"/>
              <w:right w:type="dxa" w:w="100"/>
            </w:tcMar>
          </w:tcPr>
          <w:p>
            <w:r>
              <w:rPr>
                <w:b/>
                <w:bCs/>
                <w:color w:val="2D3748"/>
                <w:sz w:val="18"/>
                <w:szCs w:val="18"/>
              </w:rPr>
              <w:t xml:space="preserve">Dña. L.P.R.</w:t>
            </w:r>
            <w:r>
              <w:rPr>
                <w:b w:val="false"/>
                <w:bCs w:val="false"/>
                <w:color w:val="2D3748"/>
                <w:sz w:val="18"/>
                <w:szCs w:val="18"/>
              </w:rPr>
              <w:t xml:space="preserve"> (compañera, equipo antiguo)</w:t>
            </w:r>
          </w:p>
        </w:tc>
        <w:tc>
          <w:tcPr>
            <w:shd w:fill="F7FAFC"/>
            <w:tcMar>
              <w:top w:type="dxa" w:w="80"/>
              <w:left w:type="dxa" w:w="100"/>
              <w:bottom w:type="dxa" w:w="80"/>
              <w:right w:type="dxa" w:w="100"/>
            </w:tcMar>
          </w:tcPr>
          <w:p>
            <w:r>
              <w:rPr>
                <w:b w:val="false"/>
                <w:bCs w:val="false"/>
                <w:color w:val="2D3748"/>
                <w:sz w:val="18"/>
                <w:szCs w:val="18"/>
              </w:rPr>
              <w:t xml:space="preserve">Si testifica favorablemente: confirma que el equipo antiguo desconocía Nimbo. Si testifica contra Aitor: se la contrainterroga sobre su desconocimiento del proyecto NB-PLAT</w:t>
            </w:r>
          </w:p>
        </w:tc>
      </w:tr>
      <w:tr>
        <w:trPr>
          <w:tblHeader w:val="false"/>
        </w:trPr>
        <w:tc>
          <w:tcPr>
            <w:tcMar>
              <w:top w:type="dxa" w:w="80"/>
              <w:left w:type="dxa" w:w="100"/>
              <w:bottom w:type="dxa" w:w="80"/>
              <w:right w:type="dxa" w:w="100"/>
            </w:tcMar>
          </w:tcPr>
          <w:p>
            <w:r>
              <w:rPr>
                <w:b/>
                <w:bCs/>
                <w:color w:val="2D3748"/>
                <w:sz w:val="18"/>
                <w:szCs w:val="18"/>
              </w:rPr>
              <w:t xml:space="preserve">D. I.B.S.</w:t>
            </w:r>
            <w:r>
              <w:rPr>
                <w:b w:val="false"/>
                <w:bCs w:val="false"/>
                <w:color w:val="2D3748"/>
                <w:sz w:val="18"/>
                <w:szCs w:val="18"/>
              </w:rPr>
              <w:t xml:space="preserve"> (team lead, firmante de los hechos de la carta)</w:t>
            </w:r>
          </w:p>
        </w:tc>
        <w:tc>
          <w:tcPr>
            <w:tcMar>
              <w:top w:type="dxa" w:w="80"/>
              <w:left w:type="dxa" w:w="100"/>
              <w:bottom w:type="dxa" w:w="80"/>
              <w:right w:type="dxa" w:w="100"/>
            </w:tcMar>
          </w:tcPr>
          <w:p>
            <w:r>
              <w:rPr>
                <w:b w:val="false"/>
                <w:bCs w:val="false"/>
                <w:color w:val="2D3748"/>
                <w:sz w:val="18"/>
                <w:szCs w:val="18"/>
              </w:rPr>
              <w:t xml:space="preserve">Contrainterrogatorio: acreditar conflicto personal desde diciembre 2025, desconocimiento del proyecto Nimbo, falta de verificación de NB-PLAT</w:t>
            </w:r>
          </w:p>
        </w:tc>
      </w:tr>
    </w:tbl>
    <w:p>
      <w:pPr>
        <w:spacing w:after="120"/>
      </w:pPr>
    </w:p>
    <w:p>
      <w:pPr>
        <w:spacing w:after="120"/>
      </w:pPr>
      <w:r>
        <w:rPr>
          <w:b/>
          <w:bCs/>
          <w:color w:val="2D3748"/>
          <w:sz w:val="20"/>
          <w:szCs w:val="20"/>
        </w:rPr>
        <w:t xml:space="preserve">D) Interrogatorio del representante legal de la empresa (art. 91 LRJS):</w:t>
      </w:r>
    </w:p>
    <w:p>
      <w:pPr>
        <w:spacing w:after="120"/>
      </w:pPr>
      <w:r>
        <w:rPr>
          <w:color w:val="2D3748"/>
          <w:sz w:val="20"/>
          <w:szCs w:val="20"/>
        </w:rPr>
        <w:t xml:space="preserve">Preguntas clave:</w:t>
      </w:r>
    </w:p>
    <w:p>
      <w:pPr>
        <w:pStyle w:val="ListParagraph"/>
        <w:numPr>
          <w:ilvl w:val="0"/>
          <w:numId w:val="2"/>
        </w:numPr>
        <w:spacing w:after="60"/>
      </w:pPr>
      <w:r>
        <w:rPr>
          <w:color w:val="2D3748"/>
          <w:sz w:val="20"/>
          <w:szCs w:val="20"/>
        </w:rPr>
        <w:t xml:space="preserve">¿Conocía la empresa la existencia del proyecto Nimbo Platform v2 y la reasignación de D. Aitor M. S. al mismo?</w:t>
      </w:r>
    </w:p>
    <w:p>
      <w:pPr>
        <w:pStyle w:val="ListParagraph"/>
        <w:numPr>
          <w:ilvl w:val="0"/>
          <w:numId w:val="2"/>
        </w:numPr>
        <w:spacing w:after="60"/>
      </w:pPr>
      <w:r>
        <w:rPr>
          <w:color w:val="2D3748"/>
          <w:sz w:val="20"/>
          <w:szCs w:val="20"/>
        </w:rPr>
        <w:t xml:space="preserve">¿Por qué la carta de despido no menciona el tablón JIRA NB-PLAT?</w:t>
      </w:r>
    </w:p>
    <w:p>
      <w:pPr>
        <w:pStyle w:val="ListParagraph"/>
        <w:numPr>
          <w:ilvl w:val="0"/>
          <w:numId w:val="2"/>
        </w:numPr>
        <w:spacing w:after="60"/>
      </w:pPr>
      <w:r>
        <w:rPr>
          <w:color w:val="2D3748"/>
          <w:sz w:val="20"/>
          <w:szCs w:val="20"/>
        </w:rPr>
        <w:t xml:space="preserve">¿Se verificó la actividad del trabajador en NB-PLAT antes de redactar la carta de despido?</w:t>
      </w:r>
    </w:p>
    <w:p>
      <w:pPr>
        <w:pStyle w:val="ListParagraph"/>
        <w:numPr>
          <w:ilvl w:val="0"/>
          <w:numId w:val="2"/>
        </w:numPr>
        <w:spacing w:after="60"/>
      </w:pPr>
      <w:r>
        <w:rPr>
          <w:color w:val="2D3748"/>
          <w:sz w:val="20"/>
          <w:szCs w:val="20"/>
        </w:rPr>
        <w:t xml:space="preserve">¿Cuántos trabajadores sénior han sido despedidos o han extinguido su contrato desde noviembre de 2025?</w:t>
      </w:r>
    </w:p>
    <w:p>
      <w:pPr>
        <w:pStyle w:val="ListParagraph"/>
        <w:numPr>
          <w:ilvl w:val="0"/>
          <w:numId w:val="2"/>
        </w:numPr>
        <w:spacing w:after="60"/>
      </w:pPr>
      <w:r>
        <w:rPr>
          <w:color w:val="2D3748"/>
          <w:sz w:val="20"/>
          <w:szCs w:val="20"/>
        </w:rPr>
        <w:t xml:space="preserve">¿Dispone la empresa de acta notarial del perfil de Upwork o solo de capturas de pantalla?</w:t>
      </w:r>
    </w:p>
    <w:p>
      <w:pPr>
        <w:pStyle w:val="ListParagraph"/>
        <w:numPr>
          <w:ilvl w:val="0"/>
          <w:numId w:val="2"/>
        </w:numPr>
        <w:spacing w:after="60"/>
      </w:pPr>
      <w:r>
        <w:rPr>
          <w:color w:val="2D3748"/>
          <w:sz w:val="20"/>
          <w:szCs w:val="20"/>
        </w:rPr>
        <w:t xml:space="preserve">¿Se ofreció al trabajador la posibilidad de formular alegaciones antes del despido?</w:t>
      </w:r>
    </w:p>
    <w:p>
      <w:pPr>
        <w:pStyle w:val="Heading3"/>
        <w:spacing w:after="80" w:before="200"/>
      </w:pPr>
      <w:r>
        <w:rPr>
          <w:b/>
          <w:bCs/>
          <w:color w:val="2C5282"/>
          <w:sz w:val="22"/>
          <w:szCs w:val="22"/>
        </w:rPr>
        <w:t xml:space="preserve">5.3 Líneas de contrainterrogatorio del team lead D. I.B.S.</w:t>
      </w:r>
    </w:p>
    <w:p>
      <w:pPr>
        <w:pStyle w:val="ListParagraph"/>
        <w:numPr>
          <w:ilvl w:val="0"/>
          <w:numId w:val="2"/>
        </w:numPr>
        <w:spacing w:after="60"/>
      </w:pPr>
      <w:r>
        <w:rPr>
          <w:color w:val="2D3748"/>
          <w:sz w:val="20"/>
          <w:szCs w:val="20"/>
        </w:rPr>
        <w:t xml:space="preserve">¿Es cierto que usted y el Sr. M.S. tuvieron una discusión técnica en diciembre de 2025?</w:t>
      </w:r>
    </w:p>
    <w:p>
      <w:pPr>
        <w:pStyle w:val="ListParagraph"/>
        <w:numPr>
          <w:ilvl w:val="0"/>
          <w:numId w:val="2"/>
        </w:numPr>
        <w:spacing w:after="60"/>
      </w:pPr>
      <w:r>
        <w:rPr>
          <w:color w:val="2D3748"/>
          <w:sz w:val="20"/>
          <w:szCs w:val="20"/>
        </w:rPr>
        <w:t xml:space="preserve">¿Sabía usted que el Sr. M.S. había sido reasignado al proyecto Nimbo en febrero de 2026?</w:t>
      </w:r>
    </w:p>
    <w:p>
      <w:pPr>
        <w:pStyle w:val="ListParagraph"/>
        <w:numPr>
          <w:ilvl w:val="0"/>
          <w:numId w:val="2"/>
        </w:numPr>
        <w:spacing w:after="60"/>
      </w:pPr>
      <w:r>
        <w:rPr>
          <w:color w:val="2D3748"/>
          <w:sz w:val="20"/>
          <w:szCs w:val="20"/>
        </w:rPr>
        <w:t xml:space="preserve">¿Consultó usted el tablón JIRA NB-PLAT antes de informar a la Dirección de la supuesta inactividad?</w:t>
      </w:r>
    </w:p>
    <w:p>
      <w:pPr>
        <w:pStyle w:val="ListParagraph"/>
        <w:numPr>
          <w:ilvl w:val="0"/>
          <w:numId w:val="2"/>
        </w:numPr>
        <w:spacing w:after="60"/>
      </w:pPr>
      <w:r>
        <w:rPr>
          <w:color w:val="2D3748"/>
          <w:sz w:val="20"/>
          <w:szCs w:val="20"/>
        </w:rPr>
        <w:t xml:space="preserve">¿Las manifestaciones de Dña. L.P.R. y D. F.J.M.V. fueron espontáneas o fue usted quien les preguntó?</w:t>
      </w:r>
    </w:p>
    <w:p>
      <w:pPr>
        <w:pStyle w:val="ListParagraph"/>
        <w:numPr>
          <w:ilvl w:val="0"/>
          <w:numId w:val="2"/>
        </w:numPr>
        <w:spacing w:after="60"/>
      </w:pPr>
      <w:r>
        <w:rPr>
          <w:color w:val="2D3748"/>
          <w:sz w:val="20"/>
          <w:szCs w:val="20"/>
        </w:rPr>
        <w:t xml:space="preserve">¿Intentó usted contactar con el Sr. M.S. a través del canal #nimbo-platform o solo usó #equipo-backend?</w:t>
      </w:r>
    </w:p>
    <w:p>
      <w:pPr>
        <w:pBdr>
          <w:bottom w:val="single" w:color="CBD5E0" w:sz="6" w:space="4"/>
        </w:pBdr>
        <w:spacing w:after="120" w:before="80"/>
      </w:pPr>
    </w:p>
    <w:p>
      <w:pPr>
        <w:pStyle w:val="Heading2"/>
        <w:spacing w:after="80" w:before="200"/>
      </w:pPr>
      <w:r>
        <w:rPr>
          <w:b/>
          <w:bCs/>
          <w:color w:val="1A365D"/>
          <w:sz w:val="26"/>
          <w:szCs w:val="26"/>
        </w:rPr>
        <w:t xml:space="preserve">6. DECISIÓN GO / NO-GO</w:t>
      </w:r>
    </w:p>
    <w:p>
      <w:pPr>
        <w:pStyle w:val="Heading3"/>
        <w:spacing w:after="80" w:before="200"/>
      </w:pPr>
      <w:r>
        <w:rPr>
          <w:b/>
          <w:bCs/>
          <w:color w:val="2C5282"/>
          <w:sz w:val="22"/>
          <w:szCs w:val="22"/>
        </w:rPr>
        <w:t xml:space="preserve">GO — SE RECOMIENDA DEMANDAR</w:t>
      </w:r>
    </w:p>
    <w:p>
      <w:pPr>
        <w:spacing w:after="120"/>
      </w:pPr>
      <w:r>
        <w:rPr>
          <w:b/>
          <w:bCs/>
          <w:color w:val="2D3748"/>
          <w:sz w:val="20"/>
          <w:szCs w:val="20"/>
        </w:rPr>
        <w:t xml:space="preserve">Fundamento:</w:t>
      </w:r>
    </w:p>
    <w:p>
      <w:pPr>
        <w:spacing w:after="120"/>
      </w:pPr>
      <w:r>
        <w:rPr>
          <w:color w:val="2D3748"/>
          <w:sz w:val="20"/>
          <w:szCs w:val="20"/>
        </w:rPr>
        <w:t xml:space="preserve">La probabilidad de improcedencia se sitúa en el </w:t>
      </w:r>
      <w:r>
        <w:rPr>
          <w:b/>
          <w:bCs/>
          <w:color w:val="2D3748"/>
          <w:sz w:val="20"/>
          <w:szCs w:val="20"/>
        </w:rPr>
        <w:t xml:space="preserve">80-85 %</w:t>
      </w:r>
      <w:r>
        <w:rPr>
          <w:color w:val="2D3748"/>
          <w:sz w:val="20"/>
          <w:szCs w:val="20"/>
        </w:rPr>
        <w:t xml:space="preserve"> (potencialmente 90 % si la empresa no acredita fehacientemente lo de Upwork). Cuatro de los cinco motivos de despido son desmontables con prueba documental ya disponible en el expediente. El quinto (concurrencia desleal) presenta riesgo, pero la carga de la prueba recae sobre la empresa y existen múltiples flancos de ataque.</w:t>
      </w:r>
    </w:p>
    <w:p>
      <w:pPr>
        <w:spacing w:after="120"/>
      </w:pPr>
      <w:r>
        <w:rPr>
          <w:color w:val="2D3748"/>
          <w:sz w:val="20"/>
          <w:szCs w:val="20"/>
        </w:rPr>
        <w:t xml:space="preserve">La indemnización esperable asciende a </w:t>
      </w:r>
      <w:r>
        <w:rPr>
          <w:b/>
          <w:bCs/>
          <w:color w:val="2D3748"/>
          <w:sz w:val="20"/>
          <w:szCs w:val="20"/>
        </w:rPr>
        <w:t xml:space="preserve">≈ 33.247 €</w:t>
      </w:r>
      <w:r>
        <w:rPr>
          <w:color w:val="2D3748"/>
          <w:sz w:val="20"/>
          <w:szCs w:val="20"/>
        </w:rPr>
        <w:t xml:space="preserve">, cantidad significativa que justifica la litigación incluso asumiendo el riesgo residual del 10-20 % de procedencia.</w:t>
      </w:r>
    </w:p>
    <w:p>
      <w:pPr>
        <w:spacing w:after="120"/>
      </w:pPr>
      <w:r>
        <w:rPr>
          <w:color w:val="2D3748"/>
          <w:sz w:val="20"/>
          <w:szCs w:val="20"/>
        </w:rPr>
        <w:t xml:space="preserve">El riesgo de costas en primera instancia social es </w:t>
      </w:r>
      <w:r>
        <w:rPr>
          <w:b/>
          <w:bCs/>
          <w:color w:val="2D3748"/>
          <w:sz w:val="20"/>
          <w:szCs w:val="20"/>
        </w:rPr>
        <w:t xml:space="preserve">inexistente</w:t>
      </w:r>
      <w:r>
        <w:rPr>
          <w:color w:val="2D3748"/>
          <w:sz w:val="20"/>
          <w:szCs w:val="20"/>
        </w:rPr>
        <w:t xml:space="preserve"> (art. 235.1 LRJS: no hay condena en costas en la instancia salvo temeridad).</w:t>
      </w:r>
    </w:p>
    <w:p>
      <w:pPr>
        <w:pStyle w:val="Heading3"/>
        <w:spacing w:after="80" w:before="200"/>
      </w:pPr>
      <w:r>
        <w:rPr>
          <w:b/>
          <w:bCs/>
          <w:color w:val="2C5282"/>
          <w:sz w:val="22"/>
          <w:szCs w:val="22"/>
        </w:rPr>
        <w:t xml:space="preserve">Calendario procesal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Hito</w:t>
            </w:r>
          </w:p>
        </w:tc>
        <w:tc>
          <w:tcPr>
            <w:shd w:fill="EBF4FF"/>
            <w:tcMar>
              <w:top w:type="dxa" w:w="80"/>
              <w:left w:type="dxa" w:w="100"/>
              <w:bottom w:type="dxa" w:w="80"/>
              <w:right w:type="dxa" w:w="100"/>
            </w:tcMar>
          </w:tcPr>
          <w:p>
            <w:r>
              <w:rPr>
                <w:b/>
                <w:bCs/>
                <w:color w:val="1A365D"/>
                <w:sz w:val="18"/>
                <w:szCs w:val="18"/>
              </w:rPr>
              <w:t xml:space="preserve">Fecha / Plazo</w:t>
            </w:r>
          </w:p>
        </w:tc>
      </w:tr>
      <w:tr>
        <w:trPr>
          <w:tblHeader w:val="false"/>
        </w:trPr>
        <w:tc>
          <w:tcPr>
            <w:tcMar>
              <w:top w:type="dxa" w:w="80"/>
              <w:left w:type="dxa" w:w="100"/>
              <w:bottom w:type="dxa" w:w="80"/>
              <w:right w:type="dxa" w:w="100"/>
            </w:tcMar>
          </w:tcPr>
          <w:p>
            <w:r>
              <w:rPr>
                <w:b/>
                <w:bCs/>
                <w:color w:val="2D3748"/>
                <w:sz w:val="18"/>
                <w:szCs w:val="18"/>
              </w:rPr>
              <w:t xml:space="preserve">Despido</w:t>
            </w:r>
          </w:p>
        </w:tc>
        <w:tc>
          <w:tcPr>
            <w:tcMar>
              <w:top w:type="dxa" w:w="80"/>
              <w:left w:type="dxa" w:w="100"/>
              <w:bottom w:type="dxa" w:w="80"/>
              <w:right w:type="dxa" w:w="100"/>
            </w:tcMar>
          </w:tcPr>
          <w:p>
            <w:r>
              <w:rPr>
                <w:b w:val="false"/>
                <w:bCs w:val="false"/>
                <w:color w:val="2D3748"/>
                <w:sz w:val="18"/>
                <w:szCs w:val="18"/>
              </w:rPr>
              <w:t xml:space="preserve">14/05/2026</w:t>
            </w:r>
          </w:p>
        </w:tc>
      </w:tr>
      <w:tr>
        <w:trPr>
          <w:tblHeader w:val="false"/>
        </w:trPr>
        <w:tc>
          <w:tcPr>
            <w:shd w:fill="F7FAFC"/>
            <w:tcMar>
              <w:top w:type="dxa" w:w="80"/>
              <w:left w:type="dxa" w:w="100"/>
              <w:bottom w:type="dxa" w:w="80"/>
              <w:right w:type="dxa" w:w="100"/>
            </w:tcMar>
          </w:tcPr>
          <w:p>
            <w:r>
              <w:rPr>
                <w:b/>
                <w:bCs/>
                <w:color w:val="2D3748"/>
                <w:sz w:val="18"/>
                <w:szCs w:val="18"/>
              </w:rPr>
              <w:t xml:space="preserve">Plazo de caducidad (art. 103.1 LRJS)</w:t>
            </w:r>
          </w:p>
        </w:tc>
        <w:tc>
          <w:tcPr>
            <w:shd w:fill="F7FAFC"/>
            <w:tcMar>
              <w:top w:type="dxa" w:w="80"/>
              <w:left w:type="dxa" w:w="100"/>
              <w:bottom w:type="dxa" w:w="80"/>
              <w:right w:type="dxa" w:w="100"/>
            </w:tcMar>
          </w:tcPr>
          <w:p>
            <w:r>
              <w:rPr>
                <w:b/>
                <w:bCs/>
                <w:color w:val="2D3748"/>
                <w:sz w:val="18"/>
                <w:szCs w:val="18"/>
              </w:rPr>
              <w:t xml:space="preserve">20 días hábiles</w:t>
            </w:r>
            <w:r>
              <w:rPr>
                <w:b w:val="false"/>
                <w:bCs w:val="false"/>
                <w:color w:val="2D3748"/>
                <w:sz w:val="18"/>
                <w:szCs w:val="18"/>
              </w:rPr>
              <w:t xml:space="preserve"> → </w:t>
            </w:r>
            <w:r>
              <w:rPr>
                <w:b/>
                <w:bCs/>
                <w:color w:val="2D3748"/>
                <w:sz w:val="18"/>
                <w:szCs w:val="18"/>
              </w:rPr>
              <w:t xml:space="preserve">Fecha límite aprox.: 11 de junio de 2026</w:t>
            </w:r>
            <w:r>
              <w:rPr>
                <w:b w:val="false"/>
                <w:bCs w:val="false"/>
                <w:color w:val="2D3748"/>
                <w:sz w:val="18"/>
                <w:szCs w:val="18"/>
              </w:rPr>
              <w:t xml:space="preserve"> (excluidos sábados, domingos y festivos nacionales/autonómicos; calcular con exactitud según calendario de Madrid)</w:t>
            </w:r>
          </w:p>
        </w:tc>
      </w:tr>
      <w:tr>
        <w:trPr>
          <w:tblHeader w:val="false"/>
        </w:trPr>
        <w:tc>
          <w:tcPr>
            <w:tcMar>
              <w:top w:type="dxa" w:w="80"/>
              <w:left w:type="dxa" w:w="100"/>
              <w:bottom w:type="dxa" w:w="80"/>
              <w:right w:type="dxa" w:w="100"/>
            </w:tcMar>
          </w:tcPr>
          <w:p>
            <w:r>
              <w:rPr>
                <w:b/>
                <w:bCs/>
                <w:color w:val="2D3748"/>
                <w:sz w:val="18"/>
                <w:szCs w:val="18"/>
              </w:rPr>
              <w:t xml:space="preserve">Papeleta de conciliación ante SMAC</w:t>
            </w:r>
          </w:p>
        </w:tc>
        <w:tc>
          <w:tcPr>
            <w:tcMar>
              <w:top w:type="dxa" w:w="80"/>
              <w:left w:type="dxa" w:w="100"/>
              <w:bottom w:type="dxa" w:w="80"/>
              <w:right w:type="dxa" w:w="100"/>
            </w:tcMar>
          </w:tcPr>
          <w:p>
            <w:r>
              <w:rPr>
                <w:b w:val="false"/>
                <w:bCs w:val="false"/>
                <w:color w:val="2D3748"/>
                <w:sz w:val="18"/>
                <w:szCs w:val="18"/>
              </w:rPr>
              <w:t xml:space="preserve">Presentar </w:t>
            </w:r>
            <w:r>
              <w:rPr>
                <w:b/>
                <w:bCs/>
                <w:color w:val="2D3748"/>
                <w:sz w:val="18"/>
                <w:szCs w:val="18"/>
              </w:rPr>
              <w:t xml:space="preserve">antes del 4-5 de junio de 2026</w:t>
            </w:r>
            <w:r>
              <w:rPr>
                <w:b w:val="false"/>
                <w:bCs w:val="false"/>
                <w:color w:val="2D3748"/>
                <w:sz w:val="18"/>
                <w:szCs w:val="18"/>
              </w:rPr>
              <w:t xml:space="preserve"> para tener margen de suspensión del plazo (la presentación de papeleta suspende el cómputo de caducidad, art. 65.1 LRJS)</w:t>
            </w:r>
          </w:p>
        </w:tc>
      </w:tr>
      <w:tr>
        <w:trPr>
          <w:tblHeader w:val="false"/>
        </w:trPr>
        <w:tc>
          <w:tcPr>
            <w:shd w:fill="F7FAFC"/>
            <w:tcMar>
              <w:top w:type="dxa" w:w="80"/>
              <w:left w:type="dxa" w:w="100"/>
              <w:bottom w:type="dxa" w:w="80"/>
              <w:right w:type="dxa" w:w="100"/>
            </w:tcMar>
          </w:tcPr>
          <w:p>
            <w:r>
              <w:rPr>
                <w:b/>
                <w:bCs/>
                <w:color w:val="2D3748"/>
                <w:sz w:val="18"/>
                <w:szCs w:val="18"/>
              </w:rPr>
              <w:t xml:space="preserve">Acto de conciliación</w:t>
            </w:r>
          </w:p>
        </w:tc>
        <w:tc>
          <w:tcPr>
            <w:shd w:fill="F7FAFC"/>
            <w:tcMar>
              <w:top w:type="dxa" w:w="80"/>
              <w:left w:type="dxa" w:w="100"/>
              <w:bottom w:type="dxa" w:w="80"/>
              <w:right w:type="dxa" w:w="100"/>
            </w:tcMar>
          </w:tcPr>
          <w:p>
            <w:r>
              <w:rPr>
                <w:b w:val="false"/>
                <w:bCs w:val="false"/>
                <w:color w:val="2D3748"/>
                <w:sz w:val="18"/>
                <w:szCs w:val="18"/>
              </w:rPr>
              <w:t xml:space="preserve">15-20 días desde presentación (estimación: última semana de junio 2026)</w:t>
            </w:r>
          </w:p>
        </w:tc>
      </w:tr>
      <w:tr>
        <w:trPr>
          <w:tblHeader w:val="false"/>
        </w:trPr>
        <w:tc>
          <w:tcPr>
            <w:tcMar>
              <w:top w:type="dxa" w:w="80"/>
              <w:left w:type="dxa" w:w="100"/>
              <w:bottom w:type="dxa" w:w="80"/>
              <w:right w:type="dxa" w:w="100"/>
            </w:tcMar>
          </w:tcPr>
          <w:p>
            <w:r>
              <w:rPr>
                <w:b/>
                <w:bCs/>
                <w:color w:val="2D3748"/>
                <w:sz w:val="18"/>
                <w:szCs w:val="18"/>
              </w:rPr>
              <w:t xml:space="preserve">Demanda ante Juzgado de lo Social de Madrid</w:t>
            </w:r>
          </w:p>
        </w:tc>
        <w:tc>
          <w:tcPr>
            <w:tcMar>
              <w:top w:type="dxa" w:w="80"/>
              <w:left w:type="dxa" w:w="100"/>
              <w:bottom w:type="dxa" w:w="80"/>
              <w:right w:type="dxa" w:w="100"/>
            </w:tcMar>
          </w:tcPr>
          <w:p>
            <w:r>
              <w:rPr>
                <w:b w:val="false"/>
                <w:bCs w:val="false"/>
                <w:color w:val="2D3748"/>
                <w:sz w:val="18"/>
                <w:szCs w:val="18"/>
              </w:rPr>
              <w:t xml:space="preserve">Dentro de los días hábiles restantes del plazo de 20 tras reanudación, si no hay acuerdo en conciliación</w:t>
            </w:r>
          </w:p>
        </w:tc>
      </w:tr>
      <w:tr>
        <w:trPr>
          <w:tblHeader w:val="false"/>
        </w:trPr>
        <w:tc>
          <w:tcPr>
            <w:shd w:fill="F7FAFC"/>
            <w:tcMar>
              <w:top w:type="dxa" w:w="80"/>
              <w:left w:type="dxa" w:w="100"/>
              <w:bottom w:type="dxa" w:w="80"/>
              <w:right w:type="dxa" w:w="100"/>
            </w:tcMar>
          </w:tcPr>
          <w:p>
            <w:r>
              <w:rPr>
                <w:b/>
                <w:bCs/>
                <w:color w:val="2D3748"/>
                <w:sz w:val="18"/>
                <w:szCs w:val="18"/>
              </w:rPr>
              <w:t xml:space="preserve">Señalamiento de vista</w:t>
            </w:r>
          </w:p>
        </w:tc>
        <w:tc>
          <w:tcPr>
            <w:shd w:fill="F7FAFC"/>
            <w:tcMar>
              <w:top w:type="dxa" w:w="80"/>
              <w:left w:type="dxa" w:w="100"/>
              <w:bottom w:type="dxa" w:w="80"/>
              <w:right w:type="dxa" w:w="100"/>
            </w:tcMar>
          </w:tcPr>
          <w:p>
            <w:r>
              <w:rPr>
                <w:b w:val="false"/>
                <w:bCs w:val="false"/>
                <w:color w:val="2D3748"/>
                <w:sz w:val="18"/>
                <w:szCs w:val="18"/>
              </w:rPr>
              <w:t xml:space="preserve">Estimación: 3-6 meses desde admisión de demanda (otoño 2026 - invierno 2027, según carga del juzgado)</w:t>
            </w:r>
          </w:p>
        </w:tc>
      </w:tr>
      <w:tr>
        <w:trPr>
          <w:tblHeader w:val="false"/>
        </w:trPr>
        <w:tc>
          <w:tcPr>
            <w:tcMar>
              <w:top w:type="dxa" w:w="80"/>
              <w:left w:type="dxa" w:w="100"/>
              <w:bottom w:type="dxa" w:w="80"/>
              <w:right w:type="dxa" w:w="100"/>
            </w:tcMar>
          </w:tcPr>
          <w:p>
            <w:r>
              <w:rPr>
                <w:b/>
                <w:bCs/>
                <w:color w:val="2D3748"/>
                <w:sz w:val="18"/>
                <w:szCs w:val="18"/>
              </w:rPr>
              <w:t xml:space="preserve">Sentencia</w:t>
            </w:r>
          </w:p>
        </w:tc>
        <w:tc>
          <w:tcPr>
            <w:tcMar>
              <w:top w:type="dxa" w:w="80"/>
              <w:left w:type="dxa" w:w="100"/>
              <w:bottom w:type="dxa" w:w="80"/>
              <w:right w:type="dxa" w:w="100"/>
            </w:tcMar>
          </w:tcPr>
          <w:p>
            <w:r>
              <w:rPr>
                <w:b w:val="false"/>
                <w:bCs w:val="false"/>
                <w:color w:val="2D3748"/>
                <w:sz w:val="18"/>
                <w:szCs w:val="18"/>
              </w:rPr>
              <w:t xml:space="preserve">Estimación: 1-3 semanas tras la vista</w:t>
            </w:r>
          </w:p>
        </w:tc>
      </w:tr>
      <w:tr>
        <w:trPr>
          <w:tblHeader w:val="false"/>
        </w:trPr>
        <w:tc>
          <w:tcPr>
            <w:shd w:fill="F7FAFC"/>
            <w:tcMar>
              <w:top w:type="dxa" w:w="80"/>
              <w:left w:type="dxa" w:w="100"/>
              <w:bottom w:type="dxa" w:w="80"/>
              <w:right w:type="dxa" w:w="100"/>
            </w:tcMar>
          </w:tcPr>
          <w:p>
            <w:r>
              <w:rPr>
                <w:b/>
                <w:bCs/>
                <w:color w:val="2D3748"/>
                <w:sz w:val="18"/>
                <w:szCs w:val="18"/>
              </w:rPr>
              <w:t xml:space="preserve">Firmeza (si no hay recurso de suplicación)</w:t>
            </w:r>
          </w:p>
        </w:tc>
        <w:tc>
          <w:tcPr>
            <w:shd w:fill="F7FAFC"/>
            <w:tcMar>
              <w:top w:type="dxa" w:w="80"/>
              <w:left w:type="dxa" w:w="100"/>
              <w:bottom w:type="dxa" w:w="80"/>
              <w:right w:type="dxa" w:w="100"/>
            </w:tcMar>
          </w:tcPr>
          <w:p>
            <w:r>
              <w:rPr>
                <w:b w:val="false"/>
                <w:bCs w:val="false"/>
                <w:color w:val="2D3748"/>
                <w:sz w:val="18"/>
                <w:szCs w:val="18"/>
              </w:rPr>
              <w:t xml:space="preserve">5 días desde notificación</w:t>
            </w:r>
          </w:p>
        </w:tc>
      </w:tr>
    </w:tbl>
    <w:p>
      <w:pPr>
        <w:spacing w:after="120"/>
      </w:pPr>
    </w:p>
    <w:p>
      <w:pPr>
        <w:pStyle w:val="Heading3"/>
        <w:spacing w:after="80" w:before="200"/>
      </w:pPr>
      <w:r>
        <w:rPr>
          <w:b/>
          <w:bCs/>
          <w:color w:val="2C5282"/>
          <w:sz w:val="22"/>
          <w:szCs w:val="22"/>
        </w:rPr>
        <w:t xml:space="preserve">Estrategia en conciliación (SMAC)</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Escenario</w:t>
            </w:r>
          </w:p>
        </w:tc>
        <w:tc>
          <w:tcPr>
            <w:shd w:fill="EBF4FF"/>
            <w:tcMar>
              <w:top w:type="dxa" w:w="80"/>
              <w:left w:type="dxa" w:w="100"/>
              <w:bottom w:type="dxa" w:w="80"/>
              <w:right w:type="dxa" w:w="100"/>
            </w:tcMar>
          </w:tcPr>
          <w:p>
            <w:r>
              <w:rPr>
                <w:b/>
                <w:bCs/>
                <w:color w:val="1A365D"/>
                <w:sz w:val="18"/>
                <w:szCs w:val="18"/>
              </w:rPr>
              <w:t xml:space="preserve">Acción</w:t>
            </w:r>
          </w:p>
        </w:tc>
      </w:tr>
      <w:tr>
        <w:trPr>
          <w:tblHeader w:val="false"/>
        </w:trPr>
        <w:tc>
          <w:tcPr>
            <w:tcMar>
              <w:top w:type="dxa" w:w="80"/>
              <w:left w:type="dxa" w:w="100"/>
              <w:bottom w:type="dxa" w:w="80"/>
              <w:right w:type="dxa" w:w="100"/>
            </w:tcMar>
          </w:tcPr>
          <w:p>
            <w:r>
              <w:rPr>
                <w:b w:val="false"/>
                <w:bCs w:val="false"/>
                <w:color w:val="2D3748"/>
                <w:sz w:val="18"/>
                <w:szCs w:val="18"/>
              </w:rPr>
              <w:t xml:space="preserve">La empresa ofrece ≥ 33.000 € (indemnización legal íntegra)</w:t>
            </w:r>
          </w:p>
        </w:tc>
        <w:tc>
          <w:tcPr>
            <w:tcMar>
              <w:top w:type="dxa" w:w="80"/>
              <w:left w:type="dxa" w:w="100"/>
              <w:bottom w:type="dxa" w:w="80"/>
              <w:right w:type="dxa" w:w="100"/>
            </w:tcMar>
          </w:tcPr>
          <w:p>
            <w:r>
              <w:rPr>
                <w:b/>
                <w:bCs/>
                <w:color w:val="2D3748"/>
                <w:sz w:val="18"/>
                <w:szCs w:val="18"/>
              </w:rPr>
              <w:t xml:space="preserve">Aceptar</w:t>
            </w:r>
            <w:r>
              <w:rPr>
                <w:b w:val="false"/>
                <w:bCs w:val="false"/>
                <w:color w:val="2D3748"/>
                <w:sz w:val="18"/>
                <w:szCs w:val="18"/>
              </w:rPr>
              <w:t xml:space="preserve"> — es el objetivo del cliente</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La empresa ofrece 28.000-32.999 €</w:t>
            </w:r>
          </w:p>
        </w:tc>
        <w:tc>
          <w:tcPr>
            <w:shd w:fill="F7FAFC"/>
            <w:tcMar>
              <w:top w:type="dxa" w:w="80"/>
              <w:left w:type="dxa" w:w="100"/>
              <w:bottom w:type="dxa" w:w="80"/>
              <w:right w:type="dxa" w:w="100"/>
            </w:tcMar>
          </w:tcPr>
          <w:p>
            <w:r>
              <w:rPr>
                <w:b/>
                <w:bCs/>
                <w:color w:val="2D3748"/>
                <w:sz w:val="18"/>
                <w:szCs w:val="18"/>
              </w:rPr>
              <w:t xml:space="preserve">Valorar</w:t>
            </w:r>
            <w:r>
              <w:rPr>
                <w:b w:val="false"/>
                <w:bCs w:val="false"/>
                <w:color w:val="2D3748"/>
                <w:sz w:val="18"/>
                <w:szCs w:val="18"/>
              </w:rPr>
              <w:t xml:space="preserve"> con Aitor — está dentro de un rango aceptable si quiere cerrar rápido</w:t>
            </w:r>
          </w:p>
        </w:tc>
      </w:tr>
      <w:tr>
        <w:trPr>
          <w:tblHeader w:val="false"/>
        </w:trPr>
        <w:tc>
          <w:tcPr>
            <w:tcMar>
              <w:top w:type="dxa" w:w="80"/>
              <w:left w:type="dxa" w:w="100"/>
              <w:bottom w:type="dxa" w:w="80"/>
              <w:right w:type="dxa" w:w="100"/>
            </w:tcMar>
          </w:tcPr>
          <w:p>
            <w:r>
              <w:rPr>
                <w:b w:val="false"/>
                <w:bCs w:val="false"/>
                <w:color w:val="2D3748"/>
                <w:sz w:val="18"/>
                <w:szCs w:val="18"/>
              </w:rPr>
              <w:t xml:space="preserve">La empresa ofrece &lt; 28.000 €</w:t>
            </w:r>
          </w:p>
        </w:tc>
        <w:tc>
          <w:tcPr>
            <w:tcMar>
              <w:top w:type="dxa" w:w="80"/>
              <w:left w:type="dxa" w:w="100"/>
              <w:bottom w:type="dxa" w:w="80"/>
              <w:right w:type="dxa" w:w="100"/>
            </w:tcMar>
          </w:tcPr>
          <w:p>
            <w:r>
              <w:rPr>
                <w:b/>
                <w:bCs/>
                <w:color w:val="2D3748"/>
                <w:sz w:val="18"/>
                <w:szCs w:val="18"/>
              </w:rPr>
              <w:t xml:space="preserve">Rechazar</w:t>
            </w:r>
            <w:r>
              <w:rPr>
                <w:b w:val="false"/>
                <w:bCs w:val="false"/>
                <w:color w:val="2D3748"/>
                <w:sz w:val="18"/>
                <w:szCs w:val="18"/>
              </w:rPr>
              <w:t xml:space="preserve"> — ir a juicio con confianza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Sin avenencia</w:t>
            </w:r>
          </w:p>
        </w:tc>
        <w:tc>
          <w:tcPr>
            <w:shd w:fill="F7FAFC"/>
            <w:tcMar>
              <w:top w:type="dxa" w:w="80"/>
              <w:left w:type="dxa" w:w="100"/>
              <w:bottom w:type="dxa" w:w="80"/>
              <w:right w:type="dxa" w:w="100"/>
            </w:tcMar>
          </w:tcPr>
          <w:p>
            <w:r>
              <w:rPr>
                <w:b w:val="false"/>
                <w:bCs w:val="false"/>
                <w:color w:val="2D3748"/>
                <w:sz w:val="18"/>
                <w:szCs w:val="18"/>
              </w:rPr>
              <w:t xml:space="preserve">Presentar demanda y preparar vista con el cuadro de prueba descrito</w:t>
            </w:r>
          </w:p>
        </w:tc>
      </w:tr>
    </w:tbl>
    <w:p>
      <w:pPr>
        <w:spacing w:after="120"/>
      </w:pPr>
    </w:p>
    <w:p>
      <w:pPr>
        <w:pStyle w:val="Heading3"/>
        <w:spacing w:after="80" w:before="200"/>
      </w:pPr>
      <w:r>
        <w:rPr>
          <w:b/>
          <w:bCs/>
          <w:color w:val="2C5282"/>
          <w:sz w:val="22"/>
          <w:szCs w:val="22"/>
        </w:rPr>
        <w:t xml:space="preserve">Próximos pasos inmediatos (esta semana)</w:t>
      </w:r>
    </w:p>
    <w:p>
      <w:pPr>
        <w:pStyle w:val="ListParagraph"/>
        <w:numPr>
          <w:ilvl w:val="0"/>
          <w:numId w:val="2"/>
        </w:numPr>
        <w:spacing w:after="60"/>
      </w:pPr>
      <w:r>
        <w:rPr>
          <w:b/>
          <w:bCs/>
          <w:color w:val="2D3748"/>
          <w:sz w:val="20"/>
          <w:szCs w:val="20"/>
        </w:rPr>
        <w:t xml:space="preserve">Recopilar y asegurar toda la prueba digital:</w:t>
      </w:r>
      <w:r>
        <w:rPr>
          <w:color w:val="2D3748"/>
          <w:sz w:val="20"/>
          <w:szCs w:val="20"/>
        </w:rPr>
        <w:t xml:space="preserve"> correo .eml de Marta del Valle, capturas JIRA NB-PLAT (preferiblemente con certificación de un tercero o acta notarial de contenido digital), registros Google Meet, historial Slack #nimbo-platform.</w:t>
      </w:r>
    </w:p>
    <w:p>
      <w:pPr>
        <w:pStyle w:val="ListParagraph"/>
        <w:numPr>
          <w:ilvl w:val="0"/>
          <w:numId w:val="2"/>
        </w:numPr>
        <w:spacing w:after="60"/>
      </w:pPr>
      <w:r>
        <w:rPr>
          <w:b/>
          <w:bCs/>
          <w:color w:val="2D3748"/>
          <w:sz w:val="20"/>
          <w:szCs w:val="20"/>
        </w:rPr>
        <w:t xml:space="preserve">Obtener copia íntegra del contrato de trabajo</w:t>
      </w:r>
      <w:r>
        <w:rPr>
          <w:color w:val="2D3748"/>
          <w:sz w:val="20"/>
          <w:szCs w:val="20"/>
        </w:rPr>
        <w:t xml:space="preserve"> con cláusulas 8ª y 9ª.</w:t>
      </w:r>
    </w:p>
    <w:p>
      <w:pPr>
        <w:pStyle w:val="ListParagraph"/>
        <w:numPr>
          <w:ilvl w:val="0"/>
          <w:numId w:val="2"/>
        </w:numPr>
        <w:spacing w:after="60"/>
      </w:pPr>
      <w:r>
        <w:rPr>
          <w:b/>
          <w:bCs/>
          <w:color w:val="2D3748"/>
          <w:sz w:val="20"/>
          <w:szCs w:val="20"/>
        </w:rPr>
        <w:t xml:space="preserve">Mantener conversación definitiva con Aitor sobre Upwork:</w:t>
      </w:r>
      <w:r>
        <w:rPr>
          <w:color w:val="2D3748"/>
          <w:sz w:val="20"/>
          <w:szCs w:val="20"/>
        </w:rPr>
        <w:t xml:space="preserve"> titularidad del perfil, horas reales, facturación, clientes, solapamiento horario. Documentar su versión por escrito.</w:t>
      </w:r>
    </w:p>
    <w:p>
      <w:pPr>
        <w:pStyle w:val="ListParagraph"/>
        <w:numPr>
          <w:ilvl w:val="0"/>
          <w:numId w:val="2"/>
        </w:numPr>
        <w:spacing w:after="60"/>
      </w:pPr>
      <w:r>
        <w:rPr>
          <w:b/>
          <w:bCs/>
          <w:color w:val="2D3748"/>
          <w:sz w:val="20"/>
          <w:szCs w:val="20"/>
        </w:rPr>
        <w:t xml:space="preserve">Redactar y presentar papeleta de conciliación ante el SMAC de Madrid.</w:t>
      </w:r>
    </w:p>
    <w:p>
      <w:pPr>
        <w:pStyle w:val="ListParagraph"/>
        <w:numPr>
          <w:ilvl w:val="0"/>
          <w:numId w:val="2"/>
        </w:numPr>
        <w:spacing w:after="60"/>
      </w:pPr>
      <w:r>
        <w:rPr>
          <w:b/>
          <w:bCs/>
          <w:color w:val="2D3748"/>
          <w:sz w:val="20"/>
          <w:szCs w:val="20"/>
        </w:rPr>
        <w:t xml:space="preserve">Contactar informalmente con Dña. Marta del Valle</w:t>
      </w:r>
      <w:r>
        <w:rPr>
          <w:color w:val="2D3748"/>
          <w:sz w:val="20"/>
          <w:szCs w:val="20"/>
        </w:rPr>
        <w:t xml:space="preserve"> para sondear su disposición a testificar.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Dictamen de viabilidad — Despido Aitor M.S. vs NEOVENTIS TEC…</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 de viabilidad — Despido Aitor M.S. vs NEOVENTIS TECH</dc:title>
  <dc:subject>legal_docs</dc:subject>
  <dc:creator>Pensso</dc:creator>
  <dc:description>Generado por Pensso.com</dc:description>
  <cp:lastModifiedBy>Un-named</cp:lastModifiedBy>
  <cp:revision>1</cp:revision>
  <dcterms:created xsi:type="dcterms:W3CDTF">2026-04-11T22:29:59.648Z</dcterms:created>
  <dcterms:modified xsi:type="dcterms:W3CDTF">2026-04-11T22:29:59.648Z</dcterms:modified>
</cp:coreProperties>
</file>

<file path=docProps/custom.xml><?xml version="1.0" encoding="utf-8"?>
<Properties xmlns="http://schemas.openxmlformats.org/officeDocument/2006/custom-properties" xmlns:vt="http://schemas.openxmlformats.org/officeDocument/2006/docPropsVTypes"/>
</file>